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PromptBreaker AI</w:t>
      </w:r>
    </w:p>
    <w:p>
      <w:pPr>
        <w:jc w:val="center"/>
      </w:pPr>
      <w:r>
        <w:rPr>
          <w:i/>
          <w:sz w:val="26"/>
        </w:rPr>
        <w:t>An Adversarial Security Assessment Engine for Large Language Models</w:t>
      </w:r>
    </w:p>
    <w:p>
      <w:pPr>
        <w:jc w:val="center"/>
      </w:pPr>
      <w:r>
        <w:rPr>
          <w:color w:val="5A5C63"/>
          <w:sz w:val="19"/>
        </w:rPr>
        <w:t>Project Synopsis  ·  Prepared by Pruthviraj Patil  ·  October 2026</w:t>
      </w:r>
    </w:p>
    <w:p>
      <w:pPr>
        <w:pStyle w:val="Heading1"/>
      </w:pPr>
      <w:r>
        <w:t>1. Introduction</w:t>
      </w:r>
    </w:p>
    <w:p>
      <w:r>
        <w:t>Large Language Models are being embedded into chatbots, copilots, customer-service agents and internal business tools at unprecedented speed. Unlike traditional software, however, an LLM can be manipulated with plain natural language: a carefully worded prompt can make it reveal its system instructions, leak confidential data, misuse delegated tools, or simply burn money through unbounded calls. PromptBreaker AI is an automated adversarial assessment engine that red-teams these endpoints in a structured, repeatable way. It executes a suite of attack probes against a registered LLM target, judges every response with a hybrid verdict engine, converts the results into a category-wise risk score, maps them to industry security frameworks, and locks every attempt into a cryptographically chained evidence record — all presented through a live operations dashboard for security teams and auditors.</w:t>
      </w:r>
    </w:p>
    <w:p>
      <w:pPr>
        <w:pStyle w:val="Heading1"/>
      </w:pPr>
      <w:r>
        <w:t>2. Problem Statement</w:t>
      </w:r>
    </w:p>
    <w:p>
      <w:r>
        <w:t>Security testing of LLM applications today is largely manual, unstructured and non-repeatable. Organisations rely on ad-hoc prompt questioning by engineers, with no consistent attack coverage, no scoring, and no history. When audits or incident reviews arrive, they lack tamper-evident proof of what was tested, when, by whom, and what the outcome was. Frameworks such as the OWASP Top 10 for LLM Applications define what should be tested, but teams rarely have tooling that actually executes those tests and turns the results into evidence a third party can trust.</w:t>
      </w:r>
    </w:p>
    <w:p>
      <w:pPr>
        <w:pStyle w:val="Heading1"/>
      </w:pPr>
      <w:r>
        <w:t>3. Objectives</w:t>
      </w:r>
    </w:p>
    <w:p>
      <w:pPr>
        <w:pStyle w:val="ListBullet"/>
      </w:pPr>
      <w:r>
        <w:t>Automate adversarial red-teaming of LLM endpoints with structured, repeatable attack suites.</w:t>
      </w:r>
    </w:p>
    <w:p>
      <w:pPr>
        <w:pStyle w:val="ListBullet"/>
      </w:pPr>
      <w:r>
        <w:t>Judge every model response with a hybrid verdict engine — deterministic rules first, an optional LLM judge for nuance.</w:t>
      </w:r>
    </w:p>
    <w:p>
      <w:pPr>
        <w:pStyle w:val="ListBullet"/>
      </w:pPr>
      <w:r>
        <w:t>Translate raw verdicts into a category-wise risk score with severity bands (Critical / High / Moderate / Low).</w:t>
      </w:r>
    </w:p>
    <w:p>
      <w:pPr>
        <w:pStyle w:val="ListBullet"/>
      </w:pPr>
      <w:r>
        <w:t>Map results to established frameworks — OWASP Top 10 for LLM Applications and NIST AI RMF — with honest disclosure of untested areas.</w:t>
      </w:r>
    </w:p>
    <w:p>
      <w:pPr>
        <w:pStyle w:val="ListBullet"/>
      </w:pPr>
      <w:r>
        <w:t>Bind every attempt to a cryptographically chained evidence record (SHA-256 + HMAC) so results are auditable and tamper-evident.</w:t>
      </w:r>
    </w:p>
    <w:p>
      <w:pPr>
        <w:pStyle w:val="ListBullet"/>
      </w:pPr>
      <w:r>
        <w:t>Deliver findings through a live operations dashboard with exportable reports instead of a static document.</w:t>
      </w:r>
    </w:p>
    <w:p>
      <w:pPr>
        <w:pStyle w:val="Heading1"/>
      </w:pPr>
      <w:r>
        <w:t>4. Proposed Methodology</w:t>
      </w:r>
    </w:p>
    <w:p>
      <w:r>
        <w:t>The system is built contract-first (the API schema is locked by automated tests against the dashboard types) and test-driven. A scan flows through the following pipeline:</w:t>
      </w:r>
    </w:p>
    <w:p>
      <w:pPr>
        <w:pStyle w:val="ListNumber"/>
      </w:pPr>
      <w:r>
        <w:t>Attack Taxonomy Design — nine attack categories are defined (Prompt Injection, Jailbreak, Data Exfiltration, System Prompt Leak, Excessive Agency, Denial of Wallet, Improper Output Handling, Misinformation, Business Alignment) and mapped to the OWASP LLM Top 10.</w:t>
      </w:r>
    </w:p>
    <w:p>
      <w:pPr>
        <w:pStyle w:val="ListNumber"/>
      </w:pPr>
      <w:r>
        <w:t>Target Registration — LLM endpoints are registered by adapter (OpenAI-compatible API), each flagged private / verified.</w:t>
      </w:r>
    </w:p>
    <w:p>
      <w:pPr>
        <w:pStyle w:val="ListNumber"/>
      </w:pPr>
      <w:r>
        <w:t>Scope Attestation Gate — no scan runs without recorded authorisation: target pattern, authorised-by, reference ID and expiry are mandatory fields.</w:t>
      </w:r>
    </w:p>
    <w:p>
      <w:pPr>
        <w:pStyle w:val="ListNumber"/>
      </w:pPr>
      <w:r>
        <w:t>Probe Execution — the 12-probe core suite fires crafted attack prompts through mutation variants against the target.</w:t>
      </w:r>
    </w:p>
    <w:p>
      <w:pPr>
        <w:pStyle w:val="ListNumber"/>
      </w:pPr>
      <w:r>
        <w:t>Hybrid Judgement — each response is classified PASS / FAIL / PARTIAL / ERROR: deterministic rules first, an optional LLM judge for semantic cases.</w:t>
      </w:r>
    </w:p>
    <w:p>
      <w:pPr>
        <w:pStyle w:val="ListNumber"/>
      </w:pPr>
      <w:r>
        <w:t>Scoring &amp; Compliance Mapping — verdicts are aggregated per category into a risk score with severity bands (Low ≥ 76, Moderate 51–75, High 26–50, Critical &lt; 25) and mapped to OWASP LLM01–LLM10 plus NIST AI RMF controls.</w:t>
      </w:r>
    </w:p>
    <w:p>
      <w:pPr>
        <w:pStyle w:val="ListNumber"/>
      </w:pPr>
      <w:r>
        <w:t>Evidence Chaining — every attempt's artefact is hashed and linked to its predecessor with run-scoped IDs; any silent alteration breaks the chain and is surfaced as evidenceChainValid = false.</w:t>
      </w:r>
    </w:p>
    <w:p>
      <w:pPr>
        <w:pStyle w:val="ListNumber"/>
      </w:pPr>
      <w:r>
        <w:t>Service &amp; Presentation Layer — a FastAPI service (constant-time x-api-key auth, REST + Server-Sent-Events stream with replay) feeds a Next.js dashboard with seven pages, hand-crafted SVG charts and report export (Markdown / JSON / SARIF).</w:t>
      </w:r>
    </w:p>
    <w:p>
      <w:r>
        <w:t>Ethical and defensive controls are part of the methodology itself: private-network targets are refused by an SSRF guard unless explicitly allowed and verified, keys are stored only as SHA-256 digests, CORS is locked to the dashboard's origins, and the dashboard is designed to fail loudly — if the engine is unreachable it shows a red error banner and never substitutes mock numbers for live data. Development and deployment are verified continuously by an automated test suite (40 tests) and the system is deployed as supervised services with a self-hosted runner model, so scan traffic stays inside the client's network.</w:t>
      </w:r>
    </w:p>
    <w:p>
      <w:pPr>
        <w:pStyle w:val="Heading1"/>
      </w:pPr>
      <w:r>
        <w:t>5. Tools and Technologies</w:t>
      </w:r>
    </w:p>
    <w:p>
      <w:pPr>
        <w:pStyle w:val="ListBullet"/>
      </w:pPr>
      <w:r>
        <w:t>Languages: Python 3.14, TypeScript</w:t>
      </w:r>
    </w:p>
    <w:p>
      <w:pPr>
        <w:pStyle w:val="ListBullet"/>
      </w:pPr>
      <w:r>
        <w:t>Backend: FastAPI, SQLAlchemy (SQLite persistence), Pydantic (contract-locked camelCase schemas)</w:t>
      </w:r>
    </w:p>
    <w:p>
      <w:pPr>
        <w:pStyle w:val="ListBullet"/>
      </w:pPr>
      <w:r>
        <w:t>Testing: pytest — 40 automated tests, including API-contract locks between backend and dashboard</w:t>
      </w:r>
    </w:p>
    <w:p>
      <w:pPr>
        <w:pStyle w:val="ListBullet"/>
      </w:pPr>
      <w:r>
        <w:t>Frontend: Next.js 14 (App Router), Tailwind CSS, hand-written SVG charts (no chart libraries)</w:t>
      </w:r>
    </w:p>
    <w:p>
      <w:pPr>
        <w:pStyle w:val="ListBullet"/>
      </w:pPr>
      <w:r>
        <w:t>Streaming &amp; Security: Server-Sent Events with Last-Event-ID replay, x-api-key authentication (SHA-256 digest, constant-time comparison), CORS allow-list</w:t>
      </w:r>
    </w:p>
    <w:p>
      <w:pPr>
        <w:pStyle w:val="ListBullet"/>
      </w:pPr>
      <w:r>
        <w:t>Deployment: systemd services on Linux, GitHub for version control and collaboration</w:t>
      </w:r>
    </w:p>
    <w:p>
      <w:pPr>
        <w:pStyle w:val="Heading1"/>
      </w:pPr>
      <w:r>
        <w:t>6. Expected Outcomes</w:t>
      </w:r>
    </w:p>
    <w:p>
      <w:r>
        <w:t>On completion the project is expected to deliver an end-to-end assessment pipeline in which every scanned run produces a score, a compliance position and a verifiable evidence chain. The figures below were demonstrated on the live prototype instance (three complete runs) and are reproducible during the project demonstration:</w:t>
      </w:r>
    </w:p>
    <w:tbl>
      <w:tblPr>
        <w:tblStyle w:val="TableGrid"/>
        <w:tblW w:type="auto" w:w="0"/>
        <w:tblLook w:firstColumn="1" w:firstRow="1" w:lastColumn="0" w:lastRow="0" w:noHBand="0" w:noVBand="1" w:val="04A0"/>
      </w:tblPr>
      <w:tblGrid>
        <w:gridCol w:w="4320"/>
        <w:gridCol w:w="4320"/>
      </w:tblGrid>
      <w:tr>
        <w:tc>
          <w:tcPr>
            <w:tcW w:type="dxa" w:w="4320"/>
          </w:tcPr>
          <w:p>
            <w:r>
              <w:rPr>
                <w:b/>
              </w:rPr>
              <w:t>Expected Outcome</w:t>
            </w:r>
          </w:p>
        </w:tc>
        <w:tc>
          <w:tcPr>
            <w:tcW w:type="dxa" w:w="4320"/>
          </w:tcPr>
          <w:p>
            <w:r>
              <w:rPr>
                <w:b/>
              </w:rPr>
              <w:t>Delivered / Validated Result</w:t>
            </w:r>
          </w:p>
        </w:tc>
      </w:tr>
      <w:tr>
        <w:tc>
          <w:tcPr>
            <w:tcW w:type="dxa" w:w="4320"/>
          </w:tcPr>
          <w:p>
            <w:r>
              <w:t>Automated attack coverage</w:t>
            </w:r>
          </w:p>
        </w:tc>
        <w:tc>
          <w:tcPr>
            <w:tcW w:type="dxa" w:w="4320"/>
          </w:tcPr>
          <w:p>
            <w:r>
              <w:t>12-probe core suite across 9 categories — 180 simulations executed in 3 runs</w:t>
            </w:r>
          </w:p>
        </w:tc>
      </w:tr>
      <w:tr>
        <w:tc>
          <w:tcPr>
            <w:tcW w:type="dxa" w:w="4320"/>
          </w:tcPr>
          <w:p>
            <w:r>
              <w:t>Category-wise risk scoring</w:t>
            </w:r>
          </w:p>
        </w:tc>
        <w:tc>
          <w:tcPr>
            <w:tcW w:type="dxa" w:w="4320"/>
          </w:tcPr>
          <w:p>
            <w:r>
              <w:t>Overall score 86.67 / 100 (Low-risk band) with per-category breakdown</w:t>
            </w:r>
          </w:p>
        </w:tc>
      </w:tr>
      <w:tr>
        <w:tc>
          <w:tcPr>
            <w:tcW w:type="dxa" w:w="4320"/>
          </w:tcPr>
          <w:p>
            <w:r>
              <w:t>Verified adversarial findings</w:t>
            </w:r>
          </w:p>
        </w:tc>
        <w:tc>
          <w:tcPr>
            <w:tcW w:type="dxa" w:w="4320"/>
          </w:tcPr>
          <w:p>
            <w:r>
              <w:t>27 findings (9 per run), each backed by chained evidence</w:t>
            </w:r>
          </w:p>
        </w:tc>
      </w:tr>
      <w:tr>
        <w:tc>
          <w:tcPr>
            <w:tcW w:type="dxa" w:w="4320"/>
          </w:tcPr>
          <w:p>
            <w:r>
              <w:t>Compliance reporting</w:t>
            </w:r>
          </w:p>
        </w:tc>
        <w:tc>
          <w:tcPr>
            <w:tcW w:type="dxa" w:w="4320"/>
          </w:tcPr>
          <w:p>
            <w:r>
              <w:t>OWASP LLM Top 10: 4 PASS · 2 PARTIAL · 4 GAP disclosed honestly + NIST AI RMF controls</w:t>
            </w:r>
          </w:p>
        </w:tc>
      </w:tr>
      <w:tr>
        <w:tc>
          <w:tcPr>
            <w:tcW w:type="dxa" w:w="4320"/>
          </w:tcPr>
          <w:p>
            <w:r>
              <w:t>Tamper-evident evidence</w:t>
            </w:r>
          </w:p>
        </w:tc>
        <w:tc>
          <w:tcPr>
            <w:tcW w:type="dxa" w:w="4320"/>
          </w:tcPr>
          <w:p>
            <w:r>
              <w:t>SHA-256 + HMAC chain verified valid on all runs (evidenceChainValid = true)</w:t>
            </w:r>
          </w:p>
        </w:tc>
      </w:tr>
      <w:tr>
        <w:tc>
          <w:tcPr>
            <w:tcW w:type="dxa" w:w="4320"/>
          </w:tcPr>
          <w:p>
            <w:r>
              <w:t>Live dashboard</w:t>
            </w:r>
          </w:p>
        </w:tc>
        <w:tc>
          <w:tcPr>
            <w:tcW w:type="dxa" w:w="4320"/>
          </w:tcPr>
          <w:p>
            <w:r>
              <w:t>7 pages with live event streaming and report export (Markdown / JSON / SARIF)</w:t>
            </w:r>
          </w:p>
        </w:tc>
      </w:tr>
      <w:tr>
        <w:tc>
          <w:tcPr>
            <w:tcW w:type="dxa" w:w="4320"/>
          </w:tcPr>
          <w:p>
            <w:r>
              <w:t>Authorisation controls</w:t>
            </w:r>
          </w:p>
        </w:tc>
        <w:tc>
          <w:tcPr>
            <w:tcW w:type="dxa" w:w="4320"/>
          </w:tcPr>
          <w:p>
            <w:r>
              <w:t>Mandatory scope attestation, SSRF guard, constant-time API-key auth</w:t>
            </w:r>
          </w:p>
        </w:tc>
      </w:tr>
      <w:tr>
        <w:tc>
          <w:tcPr>
            <w:tcW w:type="dxa" w:w="4320"/>
          </w:tcPr>
          <w:p>
            <w:r>
              <w:t>Quality assurance</w:t>
            </w:r>
          </w:p>
        </w:tc>
        <w:tc>
          <w:tcPr>
            <w:tcW w:type="dxa" w:w="4320"/>
          </w:tcPr>
          <w:p>
            <w:r>
              <w:t>40 / 40 automated tests passing</w:t>
            </w:r>
          </w:p>
        </w:tc>
      </w:tr>
    </w:tbl>
    <w:p>
      <w:r>
        <w:rPr>
          <w:i/>
        </w:rPr>
        <w:t>The four GAP entries matter: the tool reports zero coverage where it has not tested — a security product that overstates its coverage is more dangerous than having none at all.</w:t>
      </w:r>
    </w:p>
    <w:p>
      <w:pPr>
        <w:pStyle w:val="Heading1"/>
      </w:pPr>
      <w:r>
        <w:t>7. Conclusion</w:t>
      </w:r>
    </w:p>
    <w:p>
      <w:r>
        <w:t>PromptBreaker AI turns ad-hoc LLM prompt testing into a repeatable, evidence-backed assessment pipeline. It demonstrates that practical LLM red-teaming can be automated end to end — attack execution, hybrid judgement, risk scoring, framework mapping and tamper-evident evidence — through a single coherent platform. On its live instance the engine has executed 180 attack simulations, produced 27 verified findings and delivered a cryptographically valid evidence chain, while openly reporting the areas it has not yet covered. Future work includes CI/CD security gating via SARIF reports, multi-tenant hosting, expanded suites (multimodal inputs, RAG poisoning, tool-calling abuse) and an always-on LLM judge for higher-fidelity verdicts.</w:t>
      </w:r>
    </w:p>
    <w:p>
      <w:pPr>
        <w:pStyle w:val="Heading1"/>
      </w:pPr>
      <w:r>
        <w:t>Appendix A — 60-Second Pitch</w:t>
      </w:r>
    </w:p>
    <w:p>
      <w:r>
        <w:rPr>
          <w:i/>
        </w:rPr>
        <w:t>“LLMs are being hacked with words, not exploits — and teams have no repeatable way to test that. PromptBreaker AI is an automated red-team engine: you register an LLM endpoint, sign a scope attestation, and it fires a 12-probe attack suite across nine categories — injection, jailbreak, data exfiltration, agency abuse. Every response is judged, scored, and locked into a cryptographic evidence chain. Right now, on this live instance: 180 simulations, 27 verified findings, an 86.67 Low-risk score, and an OWASP LLM Top 10 matrix that honestly shows four gaps we have not covered — because a security tool that lies about coverage is worse than none. The dashboard you are seeing is fed by the engine in real time — if the engine dies, the page shows a red error, never fake numbers.”</w:t>
      </w:r>
    </w:p>
    <w:p>
      <w:pPr>
        <w:pStyle w:val="Heading1"/>
      </w:pPr>
      <w:r>
        <w:t>Appendix B — 5-Minute Demo Script</w:t>
      </w:r>
    </w:p>
    <w:p>
      <w:pPr>
        <w:pStyle w:val="ListNumber"/>
      </w:pPr>
      <w:r>
        <w:t>Overview — gauge at 86.67, nine category bars, red/green compliance matrix (point out the honest GAP entries).</w:t>
      </w:r>
    </w:p>
    <w:p>
      <w:pPr>
        <w:pStyle w:val="ListNumber"/>
      </w:pPr>
      <w:r>
        <w:t>Target Settings — the registered demo target and what the attestation gate requires.</w:t>
      </w:r>
    </w:p>
    <w:p>
      <w:pPr>
        <w:pStyle w:val="ListNumber"/>
      </w:pPr>
      <w:r>
        <w:t>New Test Run — fill the attestation form and launch; watch live SSE events stream in.</w:t>
      </w:r>
    </w:p>
    <w:p>
      <w:pPr>
        <w:pStyle w:val="ListNumber"/>
      </w:pPr>
      <w:r>
        <w:t>Test Runs — open the finished run: verdicts, findings, evidence chain valid ✓, download the report.</w:t>
      </w:r>
    </w:p>
    <w:p>
      <w:pPr>
        <w:pStyle w:val="ListNumber"/>
      </w:pPr>
      <w:r>
        <w:t>Compliance — click a finding and show it linked directly to the OWASP / LLM category it violates.</w:t>
      </w:r>
    </w:p>
    <w:p>
      <w:pPr>
        <w:pStyle w:val="ListNumber"/>
      </w:pPr>
      <w:r>
        <w:t>Close — 40/40 tests green, GitHub repository, and the self-hosted-runner deployment model.</w:t>
      </w:r>
    </w:p>
    <w:p>
      <w:pPr>
        <w:jc w:val="center"/>
      </w:pPr>
      <w:r>
        <w:rPr>
          <w:color w:val="5A5C63"/>
          <w:sz w:val="18"/>
        </w:rPr>
        <w:t>Repository: https://github.com/PruthvirajPatil04-cy/PromptBreaker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B8A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PromptBreaker AI — Project Synopsis</dc:title>
  <dc:subject>Adversarial Security Assessment Engine for Large Language Models</dc:subject>
  <dc:creator>Pruthviraj Patil</dc:creator>
  <cp:keywords/>
  <dc:description>generated by python-docx</dc:description>
  <cp:lastModifiedBy/>
  <cp:revision>1</cp:revision>
  <dcterms:created xsi:type="dcterms:W3CDTF">2013-12-23T23:15:00Z</dcterms:created>
  <dcterms:modified xsi:type="dcterms:W3CDTF">2013-12-23T23:15:00Z</dcterms:modified>
  <cp:category/>
</cp:coreProperties>
</file>