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F4E79"/>
          <w:sz w:val="48"/>
          <w:szCs w:val="48"/>
        </w:rPr>
        <w:t xml:space="preserve">Using Diseases as Features to Predict Other Diseases</w:t>
      </w:r>
    </w:p>
    <w:p>
      <w:pPr>
        <w:spacing w:after="60" w:before="0"/>
        <w:jc w:val="center"/>
      </w:pPr>
      <w:r>
        <w:rPr>
          <w:rFonts w:ascii="Arial" w:cs="Arial" w:eastAsia="Arial" w:hAnsi="Arial"/>
          <w:i/>
          <w:iCs/>
          <w:color w:val="666666"/>
          <w:sz w:val="22"/>
          <w:szCs w:val="22"/>
        </w:rPr>
        <w:t xml:space="preserve">Literature Review · Design Pitfalls · Neural Network Architecture Guide</w:t>
      </w:r>
    </w:p>
    <w:p>
      <w:pPr>
        <w:spacing w:after="400" w:before="0"/>
        <w:jc w:val="center"/>
      </w:pPr>
      <w:r>
        <w:rPr>
          <w:rFonts w:ascii="Arial" w:cs="Arial" w:eastAsia="Arial" w:hAnsi="Arial"/>
          <w:color w:val="888888"/>
          <w:sz w:val="20"/>
          <w:szCs w:val="20"/>
        </w:rPr>
        <w:t xml:space="preserve">D200 Project — NHANES Comorbidity Prediction</w:t>
      </w:r>
    </w:p>
    <w:p>
      <w:pPr>
        <w:pStyle w:val="Heading1"/>
        <w:spacing w:after="160" w:before="320"/>
      </w:pPr>
      <w:r>
        <w:rPr>
          <w:rFonts w:ascii="Arial" w:cs="Arial" w:eastAsia="Arial" w:hAnsi="Arial"/>
          <w:b/>
          <w:bCs/>
          <w:color w:val="1F4E79"/>
          <w:sz w:val="36"/>
          <w:szCs w:val="36"/>
        </w:rPr>
        <w:t xml:space="preserve">1. Literature Review</w:t>
      </w:r>
    </w:p>
    <w:p>
      <w:pPr>
        <w:spacing w:after="100" w:before="60"/>
      </w:pPr>
      <w:r>
        <w:rPr>
          <w:rFonts w:ascii="Arial" w:cs="Arial" w:eastAsia="Arial" w:hAnsi="Arial"/>
          <w:sz w:val="20"/>
          <w:szCs w:val="20"/>
        </w:rPr>
        <w:t xml:space="preserve">The table below surveys the eight most relevant papers. For each, we identify the exact inputs and outputs, the method used, and critically, whether diseases were used as input features — the defining design choice of this project.</w:t>
      </w:r>
    </w:p>
    <w:p>
      <w:pPr>
        <w:spacing w:after="60" w:before="60"/>
      </w:pPr>
      <w:r>
        <w:rPr>
          <w:sz w:val="20"/>
          <w:szCs w:val="20"/>
        </w:rPr>
        <w:t xml:space="preserve"> </w:t>
      </w:r>
    </w:p>
    <w:p>
      <w:pPr>
        <w:spacing w:after="60" w:before="180"/>
      </w:pPr>
      <w:r>
        <w:rPr>
          <w:rFonts w:ascii="Arial" w:cs="Arial" w:eastAsia="Arial" w:hAnsi="Arial"/>
          <w:b/>
          <w:bCs/>
          <w:color w:val="1F4E79"/>
          <w:sz w:val="22"/>
          <w:szCs w:val="22"/>
        </w:rPr>
        <w:t xml:space="preserve">#1  </w:t>
      </w:r>
      <w:r>
        <w:rPr>
          <w:rFonts w:ascii="Arial" w:cs="Arial" w:eastAsia="Arial" w:hAnsi="Arial"/>
          <w:b/>
          <w:bCs/>
          <w:sz w:val="22"/>
          <w:szCs w:val="22"/>
        </w:rPr>
        <w:t xml:space="preserve">Chen et al. — Multitask Learning Multimodal Network </w:t>
      </w:r>
      <w:r>
        <w:rPr>
          <w:rFonts w:ascii="Arial" w:cs="Arial" w:eastAsia="Arial" w:hAnsi="Arial"/>
          <w:i/>
          <w:iCs/>
          <w:color w:val="666666"/>
          <w:sz w:val="20"/>
          <w:szCs w:val="20"/>
        </w:rPr>
        <w:t xml:space="preserve">(2025)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160"/>
      </w:tblGrid>
      <w:tr>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Data &amp; Scale</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Inputs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Outputs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Method</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Key Findings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Gap</w:t>
            </w:r>
          </w:p>
        </w:tc>
      </w:tr>
      <w:tr>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Taiwan nationwide EHR; ~2M patients; 4 diseases: diabetes, heart disease, stroke, hypertension</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ICD code sequences (Word2Vec embeddings, 10-year history) + personal info (age, sex, BMI)</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Risk of each of 4 diseases simultaneously (MTL, 4 binary heads)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Word2Vec ICD embeddings → Multi-Head Self-Attention (MHSA) → MTL heads. MAND framework extended for 4 tasks. Adam optimiser, log loss.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MTL sometimes outperforms single-task. Adding full medical records over demographics alone: +9pp AUC (0.80 → 0.89). MAND-LSTM best overall. Temporal sequence of ICD codes is key signal.</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7"/>
                <w:szCs w:val="17"/>
              </w:rPr>
              <w:t xml:space="preserve">Diseases embedded implicitly as sequences, not explicit binary flags. Longitudinal EHR only. No SHAP. No cross-sectional survey setting tested.</w:t>
            </w:r>
          </w:p>
        </w:tc>
      </w:tr>
    </w:tbl>
    <w:p>
      <w:pPr>
        <w:spacing w:after="60" w:before="60"/>
      </w:pPr>
      <w:r>
        <w:rPr>
          <w:sz w:val="20"/>
          <w:szCs w:val="20"/>
        </w:rPr>
        <w:t xml:space="preserve"> </w:t>
      </w:r>
    </w:p>
    <w:p>
      <w:pPr>
        <w:spacing w:after="60" w:before="180"/>
      </w:pPr>
      <w:r>
        <w:rPr>
          <w:rFonts w:ascii="Arial" w:cs="Arial" w:eastAsia="Arial" w:hAnsi="Arial"/>
          <w:b/>
          <w:bCs/>
          <w:color w:val="1F4E79"/>
          <w:sz w:val="22"/>
          <w:szCs w:val="22"/>
        </w:rPr>
        <w:t xml:space="preserve">#2  </w:t>
      </w:r>
      <w:r>
        <w:rPr>
          <w:rFonts w:ascii="Arial" w:cs="Arial" w:eastAsia="Arial" w:hAnsi="Arial"/>
          <w:b/>
          <w:bCs/>
          <w:sz w:val="22"/>
          <w:szCs w:val="22"/>
        </w:rPr>
        <w:t xml:space="preserve">Kim et al. — Intra-Person MTL CNN-LSTM </w:t>
      </w:r>
      <w:r>
        <w:rPr>
          <w:rFonts w:ascii="Arial" w:cs="Arial" w:eastAsia="Arial" w:hAnsi="Arial"/>
          <w:i/>
          <w:iCs/>
          <w:color w:val="666666"/>
          <w:sz w:val="20"/>
          <w:szCs w:val="20"/>
        </w:rPr>
        <w:t xml:space="preserve">(2023)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160"/>
      </w:tblGrid>
      <w:tr>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Data &amp; Scale</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Inputs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Outputs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Method</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Key Findings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Gap</w:t>
            </w:r>
          </w:p>
        </w:tc>
      </w:tr>
      <w:tr>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Longitudinal EHR, South Korea; time-series; diabetes + hypertension tasks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Time-series patient lab/clinical data; BRITS-imputed missing values; LASSO-selected features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Binary: diabetes (yes/no), hypertension (yes/no) — two simultaneous MTL heads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CNN extracts per-disease features; shared LSTM blocks capture temporal dynamics. Task weights [15:1] for class imbalance. Adam, BCE loss, dropout 0.3.</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MTL CNN-LSTM outperforms single-task LSTM, GRU, RNN. Task weighting critical — naive [1:1] underperforms. Hypertension harder due to class balance. Improved AUC and recall for diabetes.</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7"/>
                <w:szCs w:val="17"/>
              </w:rPr>
              <w:t xml:space="preserve">Requires time-series data. No explicit disease binary flags as features. No SHAP. Temporal framing incompatible with cross-sectional survey.</w:t>
            </w:r>
          </w:p>
        </w:tc>
      </w:tr>
    </w:tbl>
    <w:p>
      <w:pPr>
        <w:spacing w:after="60" w:before="60"/>
      </w:pPr>
      <w:r>
        <w:rPr>
          <w:sz w:val="20"/>
          <w:szCs w:val="20"/>
        </w:rPr>
        <w:t xml:space="preserve"> </w:t>
      </w:r>
    </w:p>
    <w:p>
      <w:pPr>
        <w:spacing w:after="60" w:before="180"/>
      </w:pPr>
      <w:r>
        <w:rPr>
          <w:rFonts w:ascii="Arial" w:cs="Arial" w:eastAsia="Arial" w:hAnsi="Arial"/>
          <w:b/>
          <w:bCs/>
          <w:color w:val="1F4E79"/>
          <w:sz w:val="22"/>
          <w:szCs w:val="22"/>
        </w:rPr>
        <w:t xml:space="preserve">#3  </w:t>
      </w:r>
      <w:r>
        <w:rPr>
          <w:rFonts w:ascii="Arial" w:cs="Arial" w:eastAsia="Arial" w:hAnsi="Arial"/>
          <w:b/>
          <w:bCs/>
          <w:sz w:val="22"/>
          <w:szCs w:val="22"/>
        </w:rPr>
        <w:t xml:space="preserve">MTL-CSDNN (ScienceDirect) </w:t>
      </w:r>
      <w:r>
        <w:rPr>
          <w:rFonts w:ascii="Arial" w:cs="Arial" w:eastAsia="Arial" w:hAnsi="Arial"/>
          <w:i/>
          <w:iCs/>
          <w:color w:val="666666"/>
          <w:sz w:val="20"/>
          <w:szCs w:val="20"/>
        </w:rPr>
        <w:t xml:space="preserve">(2024)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160"/>
      </w:tblGrid>
      <w:tr>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Data &amp; Scale</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Inputs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Outputs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Method</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Key Findings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Gap</w:t>
            </w:r>
          </w:p>
        </w:tc>
      </w:tr>
      <w:tr>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Real-world elderly survey, Shenzhen China; 482,145 patients (65+); 15 chronic diseases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Demographics + clinical measurements. No disease flags as features.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Mortality risk across 15 disease-specific patient cohorts (15 MTL heads)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MTL + cost-sensitive DNN; adaptive low-rank AUC optimisation; shared lower layers. Compared vs LR, XGBoost, CatBoost, 1D-CNN, TabNet, SAINT.</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ACC=0.99, PRAUC=0.97, MCC=0.98. Shared layers crucial — ablation shows removing them hurts. Cost-sensitive loss essential for rare diseases. Outperforms all 6 baselines.</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7"/>
                <w:szCs w:val="17"/>
              </w:rPr>
              <w:t xml:space="preserve">No disease flags as inputs. Mortality prediction not comorbidity association. Elderly only. SHAP absent (uses stability analysis). Not reproducible on public data.</w:t>
            </w:r>
          </w:p>
        </w:tc>
      </w:tr>
    </w:tbl>
    <w:p>
      <w:pPr>
        <w:spacing w:after="60" w:before="60"/>
      </w:pPr>
      <w:r>
        <w:rPr>
          <w:sz w:val="20"/>
          <w:szCs w:val="20"/>
        </w:rPr>
        <w:t xml:space="preserve"> </w:t>
      </w:r>
    </w:p>
    <w:p>
      <w:pPr>
        <w:spacing w:after="60" w:before="180"/>
      </w:pPr>
      <w:r>
        <w:rPr>
          <w:rFonts w:ascii="Arial" w:cs="Arial" w:eastAsia="Arial" w:hAnsi="Arial"/>
          <w:b/>
          <w:bCs/>
          <w:color w:val="1F4E79"/>
          <w:sz w:val="22"/>
          <w:szCs w:val="22"/>
        </w:rPr>
        <w:t xml:space="preserve">#4  </w:t>
      </w:r>
      <w:r>
        <w:rPr>
          <w:rFonts w:ascii="Arial" w:cs="Arial" w:eastAsia="Arial" w:hAnsi="Arial"/>
          <w:b/>
          <w:bCs/>
          <w:sz w:val="22"/>
          <w:szCs w:val="22"/>
        </w:rPr>
        <w:t xml:space="preserve">Batista et al. — ANN on NHANES </w:t>
      </w:r>
      <w:r>
        <w:rPr>
          <w:rFonts w:ascii="Arial" w:cs="Arial" w:eastAsia="Arial" w:hAnsi="Arial"/>
          <w:i/>
          <w:iCs/>
          <w:color w:val="666666"/>
          <w:sz w:val="20"/>
          <w:szCs w:val="20"/>
        </w:rPr>
        <w:t xml:space="preserve">(2020)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160"/>
      </w:tblGrid>
      <w:tr>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Data &amp; Scale</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Inputs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Outputs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Method</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Key Findings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Gap</w:t>
            </w:r>
          </w:p>
        </w:tc>
      </w:tr>
      <w:tr>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NHANES 2007–2016; n=24,434; US adults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Demographics (age, sex, race, BMI) + smoking + kidney disease (binary) + diabetes (binary)</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Hypertension (binary, single-task)</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Shallow ANN, single-task binary classifier. Standard binary cross-entropy. No MTL.</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AUC 0.77, sensitivity 40%, specificity 87%. Kidney disease and diabetes included as features but not structurally investigated. NN offers modest gain over logistic regression.</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7"/>
                <w:szCs w:val="17"/>
              </w:rPr>
              <w:t xml:space="preserve">Single disease only. Disease flags used incidentally, not by design. No MTL. No SHAP. Modest AUC suggests NN not ideal at NHANES scale without architectural motivation.</w:t>
            </w:r>
          </w:p>
        </w:tc>
      </w:tr>
    </w:tbl>
    <w:p>
      <w:pPr>
        <w:spacing w:after="60" w:before="60"/>
      </w:pPr>
      <w:r>
        <w:rPr>
          <w:sz w:val="20"/>
          <w:szCs w:val="20"/>
        </w:rPr>
        <w:t xml:space="preserve"> </w:t>
      </w:r>
    </w:p>
    <w:p>
      <w:pPr>
        <w:spacing w:after="60" w:before="180"/>
      </w:pPr>
      <w:r>
        <w:rPr>
          <w:rFonts w:ascii="Arial" w:cs="Arial" w:eastAsia="Arial" w:hAnsi="Arial"/>
          <w:b/>
          <w:bCs/>
          <w:color w:val="1F4E79"/>
          <w:sz w:val="22"/>
          <w:szCs w:val="22"/>
        </w:rPr>
        <w:t xml:space="preserve">#5  </w:t>
      </w:r>
      <w:r>
        <w:rPr>
          <w:rFonts w:ascii="Arial" w:cs="Arial" w:eastAsia="Arial" w:hAnsi="Arial"/>
          <w:b/>
          <w:bCs/>
          <w:sz w:val="22"/>
          <w:szCs w:val="22"/>
        </w:rPr>
        <w:t xml:space="preserve">Elmahgoub et al. — SHAP on EHR Embeddings </w:t>
      </w:r>
      <w:r>
        <w:rPr>
          <w:rFonts w:ascii="Arial" w:cs="Arial" w:eastAsia="Arial" w:hAnsi="Arial"/>
          <w:i/>
          <w:iCs/>
          <w:color w:val="666666"/>
          <w:sz w:val="20"/>
          <w:szCs w:val="20"/>
        </w:rPr>
        <w:t xml:space="preserve">(2023)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160"/>
      </w:tblGrid>
      <w:tr>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Data &amp; Scale</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Inputs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Outputs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Method</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Key Findings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Gap</w:t>
            </w:r>
          </w:p>
        </w:tc>
      </w:tr>
      <w:tr>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EHR, ~50M US patients; SNOMED CT codes; single disease per model</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Word2Vec SNOMED code embeddings + demographics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Single disease per model (COPD, hypertension, myocardial infarction — separate models)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Word2Vec embeddings of SNOMED codes → DL encoder → single-task classification. SHAP applied post-hoc to embedded features.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SHAP reveals non-obvious predictors: chest X-rays predict COPD; fall-risk procedures proxy for age/frailty in MI. SHAP feasible on embedded features. Warns SHAP cannot infer causation.</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7"/>
                <w:szCs w:val="17"/>
              </w:rPr>
              <w:t xml:space="preserve">Single-task per model — no joint learning. SHAP applied to per-disease models, not shared trunk. No MTL. Longitudinal EHR only.</w:t>
            </w:r>
          </w:p>
        </w:tc>
      </w:tr>
    </w:tbl>
    <w:p>
      <w:pPr>
        <w:spacing w:after="60" w:before="60"/>
      </w:pPr>
      <w:r>
        <w:rPr>
          <w:sz w:val="20"/>
          <w:szCs w:val="20"/>
        </w:rPr>
        <w:t xml:space="preserve"> </w:t>
      </w:r>
    </w:p>
    <w:p>
      <w:pPr>
        <w:spacing w:after="60" w:before="180"/>
      </w:pPr>
      <w:r>
        <w:rPr>
          <w:rFonts w:ascii="Arial" w:cs="Arial" w:eastAsia="Arial" w:hAnsi="Arial"/>
          <w:b/>
          <w:bCs/>
          <w:color w:val="1F4E79"/>
          <w:sz w:val="22"/>
          <w:szCs w:val="22"/>
        </w:rPr>
        <w:t xml:space="preserve">#6  </w:t>
      </w:r>
      <w:r>
        <w:rPr>
          <w:rFonts w:ascii="Arial" w:cs="Arial" w:eastAsia="Arial" w:hAnsi="Arial"/>
          <w:b/>
          <w:bCs/>
          <w:sz w:val="22"/>
          <w:szCs w:val="22"/>
        </w:rPr>
        <w:t xml:space="preserve">Uddin et al. — XGBoost + Network Analytics </w:t>
      </w:r>
      <w:r>
        <w:rPr>
          <w:rFonts w:ascii="Arial" w:cs="Arial" w:eastAsia="Arial" w:hAnsi="Arial"/>
          <w:i/>
          <w:iCs/>
          <w:color w:val="666666"/>
          <w:sz w:val="20"/>
          <w:szCs w:val="20"/>
        </w:rPr>
        <w:t xml:space="preserve">(2022)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160"/>
      </w:tblGrid>
      <w:tr>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Data &amp; Scale</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Inputs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Outputs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Method</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Key Findings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Gap</w:t>
            </w:r>
          </w:p>
        </w:tc>
      </w:tr>
      <w:tr>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Australian admin claims data; 8 major chronic diseases (arthritis, asthma, diabetes, CVD etc.)</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Patient demographics + network graph features (degree centrality, PageRank, transitivity) derived from patient-disease graph</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Presence/absence of each chronic disease (multiclass / multiple binary classifiers)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XGBoost best performer. Network features (degree centrality, PageRank) extracted from patient-disease bipartite graph used alongside demographics.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XGBoost outperforms RF, LR, SVM. Network features substantially boost accuracy. Disease co-occurrence structure is informative. Number of episodes and alcohol also important.</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7"/>
                <w:szCs w:val="17"/>
              </w:rPr>
              <w:t xml:space="preserve">Diseases encoded as graph features, not raw binary inputs. Graph construction required. No neural network. No MTL. No SHAP on shared representations.</w:t>
            </w:r>
          </w:p>
        </w:tc>
      </w:tr>
    </w:tbl>
    <w:p>
      <w:pPr>
        <w:spacing w:after="60" w:before="60"/>
      </w:pPr>
      <w:r>
        <w:rPr>
          <w:sz w:val="20"/>
          <w:szCs w:val="20"/>
        </w:rPr>
        <w:t xml:space="preserve"> </w:t>
      </w:r>
    </w:p>
    <w:p>
      <w:pPr>
        <w:spacing w:after="60" w:before="180"/>
      </w:pPr>
      <w:r>
        <w:rPr>
          <w:rFonts w:ascii="Arial" w:cs="Arial" w:eastAsia="Arial" w:hAnsi="Arial"/>
          <w:b/>
          <w:bCs/>
          <w:color w:val="1F4E79"/>
          <w:sz w:val="22"/>
          <w:szCs w:val="22"/>
        </w:rPr>
        <w:t xml:space="preserve">#7  </w:t>
      </w:r>
      <w:r>
        <w:rPr>
          <w:rFonts w:ascii="Arial" w:cs="Arial" w:eastAsia="Arial" w:hAnsi="Arial"/>
          <w:b/>
          <w:bCs/>
          <w:sz w:val="22"/>
          <w:szCs w:val="22"/>
        </w:rPr>
        <w:t xml:space="preserve">Lu &amp; Uddin — Graph Embedding Link Prediction </w:t>
      </w:r>
      <w:r>
        <w:rPr>
          <w:rFonts w:ascii="Arial" w:cs="Arial" w:eastAsia="Arial" w:hAnsi="Arial"/>
          <w:i/>
          <w:iCs/>
          <w:color w:val="666666"/>
          <w:sz w:val="20"/>
          <w:szCs w:val="20"/>
        </w:rPr>
        <w:t xml:space="preserve">(2023)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160"/>
      </w:tblGrid>
      <w:tr>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Data &amp; Scale</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Inputs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Outputs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Method</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Key Findings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Gap</w:t>
            </w:r>
          </w:p>
        </w:tc>
      </w:tr>
      <w:tr>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Admin claims data; patient-disease bipartite graph; chronic disease pairs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Graph node embeddings (node2vec, GNN) derived from patient-disease network</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Whether two diseases co-occur (link prediction — disease pairs, not individual patients)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Patient-disease bipartite graph → node2vec / GNN variants → link prediction on comorbidity network. Jaccard coefficient, degree centrality as key features.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Graph embeddings outperform association rules and collaborative filtering. Latent embedding geometry reflects known clinical comorbidity pairs. Scalable framework.</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7"/>
                <w:szCs w:val="17"/>
              </w:rPr>
              <w:t xml:space="preserve">Predicts disease-pair links, not patient-level risk. Requires graph construction. Not applicable to flat survey data. No patient demographics as features. No classification heads.</w:t>
            </w:r>
          </w:p>
        </w:tc>
      </w:tr>
    </w:tbl>
    <w:p>
      <w:pPr>
        <w:spacing w:after="60" w:before="60"/>
      </w:pPr>
      <w:r>
        <w:rPr>
          <w:sz w:val="20"/>
          <w:szCs w:val="20"/>
        </w:rPr>
        <w:t xml:space="preserve"> </w:t>
      </w:r>
    </w:p>
    <w:p>
      <w:pPr>
        <w:spacing w:after="60" w:before="180"/>
      </w:pPr>
      <w:r>
        <w:rPr>
          <w:rFonts w:ascii="Arial" w:cs="Arial" w:eastAsia="Arial" w:hAnsi="Arial"/>
          <w:b/>
          <w:bCs/>
          <w:color w:val="1F4E79"/>
          <w:sz w:val="22"/>
          <w:szCs w:val="22"/>
        </w:rPr>
        <w:t xml:space="preserve">#8  </w:t>
      </w:r>
      <w:r>
        <w:rPr>
          <w:rFonts w:ascii="Arial" w:cs="Arial" w:eastAsia="Arial" w:hAnsi="Arial"/>
          <w:b/>
          <w:bCs/>
          <w:sz w:val="22"/>
          <w:szCs w:val="22"/>
        </w:rPr>
        <w:t xml:space="preserve">Aziz et al. — Multimorbidity Link Prediction </w:t>
      </w:r>
      <w:r>
        <w:rPr>
          <w:rFonts w:ascii="Arial" w:cs="Arial" w:eastAsia="Arial" w:hAnsi="Arial"/>
          <w:i/>
          <w:iCs/>
          <w:color w:val="666666"/>
          <w:sz w:val="20"/>
          <w:szCs w:val="20"/>
        </w:rPr>
        <w:t xml:space="preserve">(2021)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160"/>
      </w:tblGrid>
      <w:tr>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Data &amp; Scale</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Inputs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Outputs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Method</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Key Findings</w:t>
            </w:r>
          </w:p>
        </w:tc>
        <w:tc>
          <w:tcPr>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tcPr>
          <w:p>
            <w:r>
              <w:rPr>
                <w:rFonts w:ascii="Arial" w:cs="Arial" w:eastAsia="Arial" w:hAnsi="Arial"/>
                <w:b/>
                <w:bCs/>
                <w:color w:val="FFFFFF"/>
                <w:sz w:val="17"/>
                <w:szCs w:val="17"/>
              </w:rPr>
              <w:t xml:space="preserve">Gap</w:t>
            </w:r>
          </w:p>
        </w:tc>
      </w:tr>
      <w:tr>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UK Biobank; genomic + phenotypic data; large-scale disease pairs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Genetic variants + phenotypic data (no explicit disease binary flags)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Whether a specific disease pair co-occurs (link prediction)</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Link prediction on disease network using genetic similarity as edge weights. ML models on graph features.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7"/>
                <w:szCs w:val="17"/>
              </w:rPr>
              <w:t xml:space="preserve">Genetic similarity predicts comorbidity above chance. Shared genetic pathways explain many comorbidities. Biological mechanism interpretable from shared gene sets.</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7"/>
                <w:szCs w:val="17"/>
              </w:rPr>
              <w:t xml:space="preserve">Genetic data required. Disease-pair level not patient-level. No patient survey data. No explicit disease flags as classifier inputs.</w:t>
            </w:r>
          </w:p>
        </w:tc>
      </w:tr>
    </w:tbl>
    <w:p>
      <w:pPr>
        <w:spacing w:after="60" w:before="60"/>
      </w:pPr>
      <w:r>
        <w:rPr>
          <w:sz w:val="20"/>
          <w:szCs w:val="20"/>
        </w:rPr>
        <w:t xml:space="preserve"> </w:t>
      </w:r>
    </w:p>
    <w:p>
      <w:r>
        <w:br w:type="page"/>
      </w:r>
    </w:p>
    <w:p>
      <w:pPr>
        <w:pStyle w:val="Heading1"/>
        <w:spacing w:after="160" w:before="320"/>
      </w:pPr>
      <w:r>
        <w:rPr>
          <w:rFonts w:ascii="Arial" w:cs="Arial" w:eastAsia="Arial" w:hAnsi="Arial"/>
          <w:b/>
          <w:bCs/>
          <w:color w:val="1F4E79"/>
          <w:sz w:val="36"/>
          <w:szCs w:val="36"/>
        </w:rPr>
        <w:t xml:space="preserve">2. Why Researchers Have Hesitated to Use Diseases as Direct Inputs</w:t>
      </w:r>
    </w:p>
    <w:p>
      <w:pPr>
        <w:spacing w:after="100" w:before="60"/>
      </w:pPr>
      <w:r>
        <w:rPr>
          <w:rFonts w:ascii="Arial" w:cs="Arial" w:eastAsia="Arial" w:hAnsi="Arial"/>
          <w:sz w:val="20"/>
          <w:szCs w:val="20"/>
        </w:rPr>
        <w:t xml:space="preserve">Despite the intuitive appeal — knowing you have diabetes should help predict hypertension — virtually no paper directly feeds binary disease flags into a classifier to predict another disease. The hesitation is not accidental. There are five deep methodological reasons for it.</w:t>
      </w:r>
    </w:p>
    <w:p>
      <w:pPr>
        <w:spacing w:after="60" w:before="60"/>
      </w:pPr>
      <w:r>
        <w:rPr>
          <w:sz w:val="20"/>
          <w:szCs w:val="20"/>
        </w:rPr>
        <w:t xml:space="preserve"> </w:t>
      </w:r>
    </w:p>
    <w:p>
      <w:pPr>
        <w:pStyle w:val="Heading2"/>
        <w:spacing w:after="120" w:before="240"/>
      </w:pPr>
      <w:r>
        <w:rPr>
          <w:rFonts w:ascii="Arial" w:cs="Arial" w:eastAsia="Arial" w:hAnsi="Arial"/>
          <w:b/>
          <w:bCs/>
          <w:color w:val="2E75B6"/>
          <w:sz w:val="28"/>
          <w:szCs w:val="28"/>
        </w:rPr>
        <w:t xml:space="preserve">2.1  The Label Leakage Problem</w:t>
      </w:r>
    </w:p>
    <w:p>
      <w:pPr>
        <w:spacing w:after="100" w:before="60"/>
      </w:pPr>
      <w:r>
        <w:rPr>
          <w:rFonts w:ascii="Arial" w:cs="Arial" w:eastAsia="Arial" w:hAnsi="Arial"/>
          <w:sz w:val="20"/>
          <w:szCs w:val="20"/>
        </w:rPr>
        <w:t xml:space="preserve">The most serious concern. If disease A predicts disease B because they share an underlying biological pathway (e.g. insulin resistance → both diabetes and CVD), then including A as a feature to predict B may appear to work — but only because A is a proxy for the shared latent factor. The model learns a spurious shortcut rather than anything clinically useful. In the worst case, if diseases are measured simultaneously in the same survey, the correlation may reflect measurement co-occurrence rather than any causal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2"/>
                <w:szCs w:val="22"/>
              </w:rPr>
              <w:t xml:space="preserve">⚠</w:t>
            </w:r>
          </w:p>
        </w:tc>
        <w:tc>
          <w:tcPr>
            <w:tcW w:type="dxa" w:w="9160"/>
            <w:tcBorders>
              <w:top w:val="single" w:color="AAAAAA" w:sz="1"/>
              <w:left w:val="single" w:color="AAAAAA" w:sz="1"/>
              <w:bottom w:val="single" w:color="AAAAAA" w:sz="1"/>
              <w:right w:val="single" w:color="AAAAAA" w:sz="1"/>
            </w:tcBorders>
            <w:shd w:fill="FFF3CD" w:val="clear"/>
            <w:tcMar>
              <w:top w:type="dxa" w:w="80"/>
              <w:left w:type="dxa" w:w="130"/>
              <w:bottom w:type="dxa" w:w="80"/>
              <w:right w:type="dxa" w:w="130"/>
            </w:tcMar>
          </w:tcPr>
          <w:p>
            <w:r>
              <w:rPr>
                <w:rFonts w:ascii="Arial" w:cs="Arial" w:eastAsia="Arial" w:hAnsi="Arial"/>
                <w:i/>
                <w:iCs/>
                <w:sz w:val="19"/>
                <w:szCs w:val="19"/>
              </w:rPr>
              <w:t xml:space="preserve">Example: Including 'has hypertension' as a feature to predict 'has diabetes' inflates performance — but in a screening tool, you would not know one to predict the other. The model is not learning a generalisable signal.</w:t>
            </w:r>
          </w:p>
        </w:tc>
      </w:tr>
    </w:tbl>
    <w:p>
      <w:pPr>
        <w:spacing w:after="60" w:before="60"/>
      </w:pPr>
      <w:r>
        <w:rPr>
          <w:sz w:val="20"/>
          <w:szCs w:val="20"/>
        </w:rPr>
        <w:t xml:space="preserve"> </w:t>
      </w:r>
    </w:p>
    <w:p>
      <w:pPr>
        <w:pStyle w:val="Heading2"/>
        <w:spacing w:after="120" w:before="240"/>
      </w:pPr>
      <w:r>
        <w:rPr>
          <w:rFonts w:ascii="Arial" w:cs="Arial" w:eastAsia="Arial" w:hAnsi="Arial"/>
          <w:b/>
          <w:bCs/>
          <w:color w:val="2E75B6"/>
          <w:sz w:val="28"/>
          <w:szCs w:val="28"/>
        </w:rPr>
        <w:t xml:space="preserve">2.2  Temporal Ambiguity in Cross-Sectional Data</w:t>
      </w:r>
    </w:p>
    <w:p>
      <w:pPr>
        <w:spacing w:after="100" w:before="60"/>
      </w:pPr>
      <w:r>
        <w:rPr>
          <w:rFonts w:ascii="Arial" w:cs="Arial" w:eastAsia="Arial" w:hAnsi="Arial"/>
          <w:sz w:val="20"/>
          <w:szCs w:val="20"/>
        </w:rPr>
        <w:t xml:space="preserve">EHR studies that do use comorbidity information are careful to use disease history (i.e. Disease A diagnosed before Disease B) to establish a temporal ordering. In cross-sectional survey data such as NHANES, all conditions are recorded at the same point in time. There is no guarantee that Disease A preceded Disease B — they may have been diagnosed simultaneously, or Disease B may have come first. This makes causal inference impossible and leaves the model learning association, not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2"/>
                <w:szCs w:val="22"/>
              </w:rPr>
              <w:t xml:space="preserve">ℹ</w:t>
            </w:r>
          </w:p>
        </w:tc>
        <w:tc>
          <w:tcPr>
            <w:tcW w:type="dxa" w:w="9160"/>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i/>
                <w:iCs/>
                <w:sz w:val="19"/>
                <w:szCs w:val="19"/>
              </w:rPr>
              <w:t xml:space="preserve">This is not necessarily a problem if your claim is association not causation — but you must be explicit about this framing in your paper.</w:t>
            </w:r>
          </w:p>
        </w:tc>
      </w:tr>
    </w:tbl>
    <w:p>
      <w:pPr>
        <w:spacing w:after="60" w:before="60"/>
      </w:pPr>
      <w:r>
        <w:rPr>
          <w:sz w:val="20"/>
          <w:szCs w:val="20"/>
        </w:rPr>
        <w:t xml:space="preserve"> </w:t>
      </w:r>
    </w:p>
    <w:p>
      <w:pPr>
        <w:pStyle w:val="Heading2"/>
        <w:spacing w:after="120" w:before="240"/>
      </w:pPr>
      <w:r>
        <w:rPr>
          <w:rFonts w:ascii="Arial" w:cs="Arial" w:eastAsia="Arial" w:hAnsi="Arial"/>
          <w:b/>
          <w:bCs/>
          <w:color w:val="2E75B6"/>
          <w:sz w:val="28"/>
          <w:szCs w:val="28"/>
        </w:rPr>
        <w:t xml:space="preserve">2.3  Circular and Tautological Predictions</w:t>
      </w:r>
    </w:p>
    <w:p>
      <w:pPr>
        <w:spacing w:after="100" w:before="60"/>
      </w:pPr>
      <w:r>
        <w:rPr>
          <w:rFonts w:ascii="Arial" w:cs="Arial" w:eastAsia="Arial" w:hAnsi="Arial"/>
          <w:sz w:val="20"/>
          <w:szCs w:val="20"/>
        </w:rPr>
        <w:t xml:space="preserve">Some disease pairs have such strong clinical overlap that using one to predict the other is nearly circular. For example, pre-diabetes and Type 2 diabetes, or depression and anxiety, or PCOS and endometriosis share diagnostic criteria. A model that uses pre-diabetes to predict diabetes is not doing anything clinically useful — it is essentially exploiting definitional overlap. Reviewers will correctly identify this as a methodological flaw if not addressed.</w:t>
      </w:r>
    </w:p>
    <w:p>
      <w:pPr>
        <w:spacing w:after="60" w:before="60"/>
      </w:pPr>
      <w:r>
        <w:rPr>
          <w:sz w:val="20"/>
          <w:szCs w:val="20"/>
        </w:rPr>
        <w:t xml:space="preserve"> </w:t>
      </w:r>
    </w:p>
    <w:p>
      <w:pPr>
        <w:pStyle w:val="Heading2"/>
        <w:spacing w:after="120" w:before="240"/>
      </w:pPr>
      <w:r>
        <w:rPr>
          <w:rFonts w:ascii="Arial" w:cs="Arial" w:eastAsia="Arial" w:hAnsi="Arial"/>
          <w:b/>
          <w:bCs/>
          <w:color w:val="2E75B6"/>
          <w:sz w:val="28"/>
          <w:szCs w:val="28"/>
        </w:rPr>
        <w:t xml:space="preserve">2.4  Test-Time Availability of Disease Labels</w:t>
      </w:r>
    </w:p>
    <w:p>
      <w:pPr>
        <w:spacing w:after="100" w:before="60"/>
      </w:pPr>
      <w:r>
        <w:rPr>
          <w:rFonts w:ascii="Arial" w:cs="Arial" w:eastAsia="Arial" w:hAnsi="Arial"/>
          <w:sz w:val="20"/>
          <w:szCs w:val="20"/>
        </w:rPr>
        <w:t xml:space="preserve">A practical deployment concern. If your model requires knowing whether a patient has Disease A in order to predict Disease B, then Disease A must be known at inference time. In many screening contexts — the whole motivation for building a predictive model — you are trying to identify undiagnosed conditions. If Disease A requires a clinical diagnosis to be known, it is often not available at the point of screening. This limits real-world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2"/>
                <w:szCs w:val="22"/>
              </w:rPr>
              <w:t xml:space="preserve">⚠</w:t>
            </w:r>
          </w:p>
        </w:tc>
        <w:tc>
          <w:tcPr>
            <w:tcW w:type="dxa" w:w="9160"/>
            <w:tcBorders>
              <w:top w:val="single" w:color="AAAAAA" w:sz="1"/>
              <w:left w:val="single" w:color="AAAAAA" w:sz="1"/>
              <w:bottom w:val="single" w:color="AAAAAA" w:sz="1"/>
              <w:right w:val="single" w:color="AAAAAA" w:sz="1"/>
            </w:tcBorders>
            <w:shd w:fill="FFF3CD" w:val="clear"/>
            <w:tcMar>
              <w:top w:type="dxa" w:w="80"/>
              <w:left w:type="dxa" w:w="130"/>
              <w:bottom w:type="dxa" w:w="80"/>
              <w:right w:type="dxa" w:w="130"/>
            </w:tcMar>
          </w:tcPr>
          <w:p>
            <w:r>
              <w:rPr>
                <w:rFonts w:ascii="Arial" w:cs="Arial" w:eastAsia="Arial" w:hAnsi="Arial"/>
                <w:i/>
                <w:iCs/>
                <w:sz w:val="19"/>
                <w:szCs w:val="19"/>
              </w:rPr>
              <w:t xml:space="preserve">Your model is useful for: 'Given a patient already diagnosed with diabetes, what is their risk of CVD?' It is less useful for: 'Given a completely unscreened patient, predict all their conditions.' Be clear which use case you are building for.</w:t>
            </w:r>
          </w:p>
        </w:tc>
      </w:tr>
    </w:tbl>
    <w:p>
      <w:pPr>
        <w:spacing w:after="60" w:before="60"/>
      </w:pPr>
      <w:r>
        <w:rPr>
          <w:sz w:val="20"/>
          <w:szCs w:val="20"/>
        </w:rPr>
        <w:t xml:space="preserve"> </w:t>
      </w:r>
    </w:p>
    <w:p>
      <w:pPr>
        <w:pStyle w:val="Heading2"/>
        <w:spacing w:after="120" w:before="240"/>
      </w:pPr>
      <w:r>
        <w:rPr>
          <w:rFonts w:ascii="Arial" w:cs="Arial" w:eastAsia="Arial" w:hAnsi="Arial"/>
          <w:b/>
          <w:bCs/>
          <w:color w:val="2E75B6"/>
          <w:sz w:val="28"/>
          <w:szCs w:val="28"/>
        </w:rPr>
        <w:t xml:space="preserve">2.5  Class Imbalance Amplification</w:t>
      </w:r>
    </w:p>
    <w:p>
      <w:pPr>
        <w:spacing w:after="100" w:before="60"/>
      </w:pPr>
      <w:r>
        <w:rPr>
          <w:rFonts w:ascii="Arial" w:cs="Arial" w:eastAsia="Arial" w:hAnsi="Arial"/>
          <w:sz w:val="20"/>
          <w:szCs w:val="20"/>
        </w:rPr>
        <w:t xml:space="preserve">Rare diseases are rare. If you use disease A (prevalence 30%) as a feature to predict disease B (prevalence 5%), the model may learn that the best strategy for predicting B is simply to predict 'no' whenever A is absent — since most patients without A also lack B. The disease feature may hurt performance on the minority class by adding a spurious strong negative signal. Standard class imbalance techniques (weighted loss, oversampling) help but do not fully resolve this.</w:t>
      </w:r>
    </w:p>
    <w:p>
      <w:pPr>
        <w:spacing w:after="60" w:before="60"/>
      </w:pPr>
      <w:r>
        <w:rPr>
          <w:sz w:val="20"/>
          <w:szCs w:val="20"/>
        </w:rPr>
        <w:t xml:space="preserve"> </w:t>
      </w:r>
    </w:p>
    <w:p>
      <w:pPr>
        <w:pStyle w:val="Heading1"/>
        <w:spacing w:after="160" w:before="320"/>
      </w:pPr>
      <w:r>
        <w:rPr>
          <w:rFonts w:ascii="Arial" w:cs="Arial" w:eastAsia="Arial" w:hAnsi="Arial"/>
          <w:b/>
          <w:bCs/>
          <w:color w:val="1F4E79"/>
          <w:sz w:val="36"/>
          <w:szCs w:val="36"/>
        </w:rPr>
        <w:t xml:space="preserve">3. Design Rules: What To Do and What To Avoid</w:t>
      </w:r>
    </w:p>
    <w:p>
      <w:pPr>
        <w:spacing w:after="60" w:before="6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AAAAAA" w:sz="1"/>
              <w:left w:val="single" w:color="AAAAAA" w:sz="1"/>
              <w:bottom w:val="single" w:color="AAAAAA" w:sz="1"/>
              <w:right w:val="single" w:color="AAAAAA" w:sz="1"/>
            </w:tcBorders>
            <w:shd w:fill="1E8449" w:val="clear"/>
            <w:tcMar>
              <w:top w:type="dxa" w:w="80"/>
              <w:left w:type="dxa" w:w="130"/>
              <w:bottom w:type="dxa" w:w="80"/>
              <w:right w:type="dxa" w:w="130"/>
            </w:tcMar>
          </w:tcPr>
          <w:p>
            <w:r>
              <w:rPr>
                <w:rFonts w:ascii="Arial" w:cs="Arial" w:eastAsia="Arial" w:hAnsi="Arial"/>
                <w:b/>
                <w:bCs/>
                <w:color w:val="FFFFFF"/>
                <w:sz w:val="20"/>
                <w:szCs w:val="20"/>
              </w:rPr>
              <w:t xml:space="preserve">✓  DO</w:t>
            </w:r>
          </w:p>
        </w:tc>
        <w:tc>
          <w:tcPr>
            <w:tcBorders>
              <w:top w:val="single" w:color="AAAAAA" w:sz="1"/>
              <w:left w:val="single" w:color="AAAAAA" w:sz="1"/>
              <w:bottom w:val="single" w:color="AAAAAA" w:sz="1"/>
              <w:right w:val="single" w:color="AAAAAA" w:sz="1"/>
            </w:tcBorders>
            <w:shd w:fill="922B21" w:val="clear"/>
            <w:tcMar>
              <w:top w:type="dxa" w:w="80"/>
              <w:left w:type="dxa" w:w="130"/>
              <w:bottom w:type="dxa" w:w="80"/>
              <w:right w:type="dxa" w:w="130"/>
            </w:tcMar>
          </w:tcPr>
          <w:p>
            <w:r>
              <w:rPr>
                <w:rFonts w:ascii="Arial" w:cs="Arial" w:eastAsia="Arial" w:hAnsi="Arial"/>
                <w:b/>
                <w:bCs/>
                <w:color w:val="FFFFFF"/>
                <w:sz w:val="20"/>
                <w:szCs w:val="20"/>
              </w:rPr>
              <w:t xml:space="preserve">✗  DO NOT</w:t>
            </w:r>
          </w:p>
        </w:tc>
      </w:tr>
      <w:tr>
        <w:tc>
          <w:tcPr>
            <w:tcBorders>
              <w:top w:val="single" w:color="AAAAAA" w:sz="1"/>
              <w:left w:val="single" w:color="AAAAAA" w:sz="1"/>
              <w:bottom w:val="single" w:color="AAAAAA" w:sz="1"/>
              <w:right w:val="single" w:color="AAAAAA" w:sz="1"/>
            </w:tcBorders>
            <w:shd w:fill="D5F5E3" w:val="clear"/>
            <w:tcMar>
              <w:top w:type="dxa" w:w="80"/>
              <w:left w:type="dxa" w:w="130"/>
              <w:bottom w:type="dxa" w:w="80"/>
              <w:right w:type="dxa" w:w="130"/>
            </w:tcMar>
          </w:tcPr>
          <w:p>
            <w:r>
              <w:rPr>
                <w:rFonts w:ascii="Arial" w:cs="Arial" w:eastAsia="Arial" w:hAnsi="Arial"/>
                <w:sz w:val="18"/>
                <w:szCs w:val="18"/>
              </w:rPr>
              <w:t xml:space="preserve">Clearly state your framing as association not causation in cross-sectional data</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8"/>
                <w:szCs w:val="18"/>
              </w:rPr>
              <w:t xml:space="preserve">Do not include disease k as an input feature when predicting disease k</w:t>
            </w:r>
          </w:p>
        </w:tc>
      </w:tr>
      <w:tr>
        <w:tc>
          <w:tcPr>
            <w:tcBorders>
              <w:top w:val="single" w:color="AAAAAA" w:sz="1"/>
              <w:left w:val="single" w:color="AAAAAA" w:sz="1"/>
              <w:bottom w:val="single" w:color="AAAAAA" w:sz="1"/>
              <w:right w:val="single" w:color="AAAAAA" w:sz="1"/>
            </w:tcBorders>
            <w:shd w:fill="D5F5E3" w:val="clear"/>
            <w:tcMar>
              <w:top w:type="dxa" w:w="80"/>
              <w:left w:type="dxa" w:w="130"/>
              <w:bottom w:type="dxa" w:w="80"/>
              <w:right w:type="dxa" w:w="130"/>
            </w:tcMar>
          </w:tcPr>
          <w:p>
            <w:r>
              <w:rPr>
                <w:rFonts w:ascii="Arial" w:cs="Arial" w:eastAsia="Arial" w:hAnsi="Arial"/>
                <w:sz w:val="18"/>
                <w:szCs w:val="18"/>
              </w:rPr>
              <w:t xml:space="preserve">Exclude the target disease from the input feature set (never predict disease k using disease k)</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8"/>
                <w:szCs w:val="18"/>
              </w:rPr>
              <w:t xml:space="preserve">Do not claim causality from cross-sectional associations</w:t>
            </w:r>
          </w:p>
        </w:tc>
      </w:tr>
      <w:tr>
        <w:tc>
          <w:tcPr>
            <w:tcBorders>
              <w:top w:val="single" w:color="AAAAAA" w:sz="1"/>
              <w:left w:val="single" w:color="AAAAAA" w:sz="1"/>
              <w:bottom w:val="single" w:color="AAAAAA" w:sz="1"/>
              <w:right w:val="single" w:color="AAAAAA" w:sz="1"/>
            </w:tcBorders>
            <w:shd w:fill="D5F5E3" w:val="clear"/>
            <w:tcMar>
              <w:top w:type="dxa" w:w="80"/>
              <w:left w:type="dxa" w:w="130"/>
              <w:bottom w:type="dxa" w:w="80"/>
              <w:right w:type="dxa" w:w="130"/>
            </w:tcMar>
          </w:tcPr>
          <w:p>
            <w:r>
              <w:rPr>
                <w:rFonts w:ascii="Arial" w:cs="Arial" w:eastAsia="Arial" w:hAnsi="Arial"/>
                <w:sz w:val="18"/>
                <w:szCs w:val="18"/>
              </w:rPr>
              <w:t xml:space="preserve">Use class-weighted loss or focal loss to handle disease rarity</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8"/>
                <w:szCs w:val="18"/>
              </w:rPr>
              <w:t xml:space="preserve">Do not use diseases with strongly overlapping diagnostic criteria as input-output pairs without justification</w:t>
            </w:r>
          </w:p>
        </w:tc>
      </w:tr>
      <w:tr>
        <w:tc>
          <w:tcPr>
            <w:tcBorders>
              <w:top w:val="single" w:color="AAAAAA" w:sz="1"/>
              <w:left w:val="single" w:color="AAAAAA" w:sz="1"/>
              <w:bottom w:val="single" w:color="AAAAAA" w:sz="1"/>
              <w:right w:val="single" w:color="AAAAAA" w:sz="1"/>
            </w:tcBorders>
            <w:shd w:fill="D5F5E3" w:val="clear"/>
            <w:tcMar>
              <w:top w:type="dxa" w:w="80"/>
              <w:left w:type="dxa" w:w="130"/>
              <w:bottom w:type="dxa" w:w="80"/>
              <w:right w:type="dxa" w:w="130"/>
            </w:tcMar>
          </w:tcPr>
          <w:p>
            <w:r>
              <w:rPr>
                <w:rFonts w:ascii="Arial" w:cs="Arial" w:eastAsia="Arial" w:hAnsi="Arial"/>
                <w:sz w:val="18"/>
                <w:szCs w:val="18"/>
              </w:rPr>
              <w:t xml:space="preserve">Report performance separately for common and rare disease heads</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8"/>
                <w:szCs w:val="18"/>
              </w:rPr>
              <w:t xml:space="preserve">Do not report only accuracy — it is meaningless for imbalanced disease labels</w:t>
            </w:r>
          </w:p>
        </w:tc>
      </w:tr>
      <w:tr>
        <w:tc>
          <w:tcPr>
            <w:tcBorders>
              <w:top w:val="single" w:color="AAAAAA" w:sz="1"/>
              <w:left w:val="single" w:color="AAAAAA" w:sz="1"/>
              <w:bottom w:val="single" w:color="AAAAAA" w:sz="1"/>
              <w:right w:val="single" w:color="AAAAAA" w:sz="1"/>
            </w:tcBorders>
            <w:shd w:fill="D5F5E3" w:val="clear"/>
            <w:tcMar>
              <w:top w:type="dxa" w:w="80"/>
              <w:left w:type="dxa" w:w="130"/>
              <w:bottom w:type="dxa" w:w="80"/>
              <w:right w:type="dxa" w:w="130"/>
            </w:tcMar>
          </w:tcPr>
          <w:p>
            <w:r>
              <w:rPr>
                <w:rFonts w:ascii="Arial" w:cs="Arial" w:eastAsia="Arial" w:hAnsi="Arial"/>
                <w:sz w:val="18"/>
                <w:szCs w:val="18"/>
              </w:rPr>
              <w:t xml:space="preserve">Ablate the contribution of disease features — run a demographics-only baseline</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8"/>
                <w:szCs w:val="18"/>
              </w:rPr>
              <w:t xml:space="preserve">Do not use a single shared loss weight across all disease heads — rare diseases need upweighting</w:t>
            </w:r>
          </w:p>
        </w:tc>
      </w:tr>
      <w:tr>
        <w:tc>
          <w:tcPr>
            <w:tcBorders>
              <w:top w:val="single" w:color="AAAAAA" w:sz="1"/>
              <w:left w:val="single" w:color="AAAAAA" w:sz="1"/>
              <w:bottom w:val="single" w:color="AAAAAA" w:sz="1"/>
              <w:right w:val="single" w:color="AAAAAA" w:sz="1"/>
            </w:tcBorders>
            <w:shd w:fill="D5F5E3" w:val="clear"/>
            <w:tcMar>
              <w:top w:type="dxa" w:w="80"/>
              <w:left w:type="dxa" w:w="130"/>
              <w:bottom w:type="dxa" w:w="80"/>
              <w:right w:type="dxa" w:w="130"/>
            </w:tcMar>
          </w:tcPr>
          <w:p>
            <w:r>
              <w:rPr>
                <w:rFonts w:ascii="Arial" w:cs="Arial" w:eastAsia="Arial" w:hAnsi="Arial"/>
                <w:sz w:val="18"/>
                <w:szCs w:val="18"/>
              </w:rPr>
              <w:t xml:space="preserve">Use SHAP to identify which input diseases drive each prediction head</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8"/>
                <w:szCs w:val="18"/>
              </w:rPr>
              <w:t xml:space="preserve">Do not skip the demographics-only baseline — it establishes how much disease features actually add</w:t>
            </w:r>
          </w:p>
        </w:tc>
      </w:tr>
      <w:tr>
        <w:tc>
          <w:tcPr>
            <w:tcBorders>
              <w:top w:val="single" w:color="AAAAAA" w:sz="1"/>
              <w:left w:val="single" w:color="AAAAAA" w:sz="1"/>
              <w:bottom w:val="single" w:color="AAAAAA" w:sz="1"/>
              <w:right w:val="single" w:color="AAAAAA" w:sz="1"/>
            </w:tcBorders>
            <w:shd w:fill="D5F5E3" w:val="clear"/>
            <w:tcMar>
              <w:top w:type="dxa" w:w="80"/>
              <w:left w:type="dxa" w:w="130"/>
              <w:bottom w:type="dxa" w:w="80"/>
              <w:right w:type="dxa" w:w="130"/>
            </w:tcMar>
          </w:tcPr>
          <w:p>
            <w:r>
              <w:rPr>
                <w:rFonts w:ascii="Arial" w:cs="Arial" w:eastAsia="Arial" w:hAnsi="Arial"/>
                <w:sz w:val="18"/>
                <w:szCs w:val="18"/>
              </w:rPr>
              <w:t xml:space="preserve">Validate that disease feature importances are clinically plausible</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8"/>
                <w:szCs w:val="18"/>
              </w:rPr>
              <w:t xml:space="preserve">Do not treat missing disease values as 'no disease' without checking if the question was asked</w:t>
            </w:r>
          </w:p>
        </w:tc>
      </w:tr>
      <w:tr>
        <w:tc>
          <w:tcPr>
            <w:tcBorders>
              <w:top w:val="single" w:color="AAAAAA" w:sz="1"/>
              <w:left w:val="single" w:color="AAAAAA" w:sz="1"/>
              <w:bottom w:val="single" w:color="AAAAAA" w:sz="1"/>
              <w:right w:val="single" w:color="AAAAAA" w:sz="1"/>
            </w:tcBorders>
            <w:shd w:fill="D5F5E3" w:val="clear"/>
            <w:tcMar>
              <w:top w:type="dxa" w:w="80"/>
              <w:left w:type="dxa" w:w="130"/>
              <w:bottom w:type="dxa" w:w="80"/>
              <w:right w:type="dxa" w:w="130"/>
            </w:tcMar>
          </w:tcPr>
          <w:p>
            <w:r>
              <w:rPr>
                <w:rFonts w:ascii="Arial" w:cs="Arial" w:eastAsia="Arial" w:hAnsi="Arial"/>
                <w:sz w:val="18"/>
                <w:szCs w:val="18"/>
              </w:rPr>
              <w:t xml:space="preserve">Note the test-time availability constraint as a limitation</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8"/>
                <w:szCs w:val="18"/>
              </w:rPr>
              <w:t xml:space="preserve">Do not use a very deep network — with ~10k NHANES samples, 2 shared layers is sufficient</w:t>
            </w:r>
          </w:p>
        </w:tc>
      </w:tr>
      <w:tr>
        <w:tc>
          <w:tcPr>
            <w:tcBorders>
              <w:top w:val="single" w:color="AAAAAA" w:sz="1"/>
              <w:left w:val="single" w:color="AAAAAA" w:sz="1"/>
              <w:bottom w:val="single" w:color="AAAAAA" w:sz="1"/>
              <w:right w:val="single" w:color="AAAAAA" w:sz="1"/>
            </w:tcBorders>
            <w:shd w:fill="D5F5E3" w:val="clear"/>
            <w:tcMar>
              <w:top w:type="dxa" w:w="80"/>
              <w:left w:type="dxa" w:w="130"/>
              <w:bottom w:type="dxa" w:w="80"/>
              <w:right w:type="dxa" w:w="130"/>
            </w:tcMar>
          </w:tcPr>
          <w:p>
            <w:r>
              <w:rPr>
                <w:rFonts w:ascii="Arial" w:cs="Arial" w:eastAsia="Arial" w:hAnsi="Arial"/>
                <w:sz w:val="18"/>
                <w:szCs w:val="18"/>
              </w:rPr>
              <w:t xml:space="preserve">Compare against K independent logistic regressions as a minimum baseline</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8"/>
                <w:szCs w:val="18"/>
              </w:rPr>
              <w:t xml:space="preserve">Do not use dropout aggressively on disease input features — they are already sparse signals</w:t>
            </w:r>
          </w:p>
        </w:tc>
      </w:tr>
      <w:tr>
        <w:tc>
          <w:tcPr>
            <w:tcBorders>
              <w:top w:val="single" w:color="AAAAAA" w:sz="1"/>
              <w:left w:val="single" w:color="AAAAAA" w:sz="1"/>
              <w:bottom w:val="single" w:color="AAAAAA" w:sz="1"/>
              <w:right w:val="single" w:color="AAAAAA" w:sz="1"/>
            </w:tcBorders>
            <w:shd w:fill="D5F5E3" w:val="clear"/>
            <w:tcMar>
              <w:top w:type="dxa" w:w="80"/>
              <w:left w:type="dxa" w:w="130"/>
              <w:bottom w:type="dxa" w:w="80"/>
              <w:right w:type="dxa" w:w="130"/>
            </w:tcMar>
          </w:tcPr>
          <w:p>
            <w:r>
              <w:rPr>
                <w:rFonts w:ascii="Arial" w:cs="Arial" w:eastAsia="Arial" w:hAnsi="Arial"/>
                <w:sz w:val="18"/>
                <w:szCs w:val="18"/>
              </w:rPr>
              <w:t xml:space="preserve">Report AUC-ROC and AUC-PR — PR curve is more informative for imbalanced classes</w:t>
            </w:r>
          </w:p>
        </w:tc>
        <w:tc>
          <w:tcPr>
            <w:tcBorders>
              <w:top w:val="single" w:color="AAAAAA" w:sz="1"/>
              <w:left w:val="single" w:color="AAAAAA" w:sz="1"/>
              <w:bottom w:val="single" w:color="AAAAAA" w:sz="1"/>
              <w:right w:val="single" w:color="AAAAAA" w:sz="1"/>
            </w:tcBorders>
            <w:shd w:fill="FADBD8" w:val="clear"/>
            <w:tcMar>
              <w:top w:type="dxa" w:w="80"/>
              <w:left w:type="dxa" w:w="130"/>
              <w:bottom w:type="dxa" w:w="80"/>
              <w:right w:type="dxa" w:w="130"/>
            </w:tcMar>
          </w:tcPr>
          <w:p>
            <w:r>
              <w:rPr>
                <w:rFonts w:ascii="Arial" w:cs="Arial" w:eastAsia="Arial" w:hAnsi="Arial"/>
                <w:sz w:val="18"/>
                <w:szCs w:val="18"/>
              </w:rPr>
              <w:t xml:space="preserve">Do not claim novelty only on performance — novelty is in the design and framing</w:t>
            </w:r>
          </w:p>
        </w:tc>
      </w:tr>
    </w:tbl>
    <w:p>
      <w:pPr>
        <w:spacing w:after="60" w:before="60"/>
      </w:pPr>
      <w:r>
        <w:rPr>
          <w:sz w:val="20"/>
          <w:szCs w:val="20"/>
        </w:rPr>
        <w:t xml:space="preserve"> </w:t>
      </w:r>
    </w:p>
    <w:p>
      <w:r>
        <w:br w:type="page"/>
      </w:r>
    </w:p>
    <w:p>
      <w:pPr>
        <w:pStyle w:val="Heading1"/>
        <w:spacing w:after="160" w:before="320"/>
      </w:pPr>
      <w:r>
        <w:rPr>
          <w:rFonts w:ascii="Arial" w:cs="Arial" w:eastAsia="Arial" w:hAnsi="Arial"/>
          <w:b/>
          <w:bCs/>
          <w:color w:val="1F4E79"/>
          <w:sz w:val="36"/>
          <w:szCs w:val="36"/>
        </w:rPr>
        <w:t xml:space="preserve">4. Recommended Neural Network Architecture</w:t>
      </w:r>
    </w:p>
    <w:p>
      <w:pPr>
        <w:spacing w:after="100" w:before="60"/>
      </w:pPr>
      <w:r>
        <w:rPr>
          <w:rFonts w:ascii="Arial" w:cs="Arial" w:eastAsia="Arial" w:hAnsi="Arial"/>
          <w:sz w:val="20"/>
          <w:szCs w:val="20"/>
        </w:rPr>
        <w:t xml:space="preserve">This section specifies a concrete architecture for a multi-task neural network that uses demographic features and other disease binary flags to predict each disease in turn, with each head masked so it never sees its own target label.</w:t>
      </w:r>
    </w:p>
    <w:p>
      <w:pPr>
        <w:spacing w:after="60" w:before="60"/>
      </w:pPr>
      <w:r>
        <w:rPr>
          <w:sz w:val="20"/>
          <w:szCs w:val="20"/>
        </w:rPr>
        <w:t xml:space="preserve"> </w:t>
      </w:r>
    </w:p>
    <w:p>
      <w:pPr>
        <w:pStyle w:val="Heading2"/>
        <w:spacing w:after="120" w:before="240"/>
      </w:pPr>
      <w:r>
        <w:rPr>
          <w:rFonts w:ascii="Arial" w:cs="Arial" w:eastAsia="Arial" w:hAnsi="Arial"/>
          <w:b/>
          <w:bCs/>
          <w:color w:val="2E75B6"/>
          <w:sz w:val="28"/>
          <w:szCs w:val="28"/>
        </w:rPr>
        <w:t xml:space="preserve">4.1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Demographic block  x_demo</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Age, sex, race/ethnicity, BMI, income level, education. Continuous variables normalised; categoricals one-hot encoded. Dimension d_demo.</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Disease block  d</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Binary vector [d₁, d₂, ..., d_K] where dₖ ∈ {0,1}. One entry per disease in scope. For head k, dₖ is removed — replaced by a zero vector of length K-1. Dimension K-1 per head.</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Combined input to head k</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concat(x_demo, d₋ₖ)  where d₋ₖ = [d₁,...,d_{k-1}, d_{k+1},...,d_K]. Dimension = d_demo + K - 1.</w:t>
            </w:r>
          </w:p>
        </w:tc>
      </w:tr>
    </w:tbl>
    <w:p>
      <w:pPr>
        <w:spacing w:after="60" w:before="60"/>
      </w:pPr>
      <w:r>
        <w:rPr>
          <w:sz w:val="20"/>
          <w:szCs w:val="20"/>
        </w:rPr>
        <w:t xml:space="preserve"> </w:t>
      </w:r>
    </w:p>
    <w:p>
      <w:pPr>
        <w:pStyle w:val="Heading2"/>
        <w:spacing w:after="120" w:before="240"/>
      </w:pPr>
      <w:r>
        <w:rPr>
          <w:rFonts w:ascii="Arial" w:cs="Arial" w:eastAsia="Arial" w:hAnsi="Arial"/>
          <w:b/>
          <w:bCs/>
          <w:color w:val="2E75B6"/>
          <w:sz w:val="28"/>
          <w:szCs w:val="28"/>
        </w:rPr>
        <w:t xml:space="preserve">4.2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1C1C1C" w:val="clear"/>
            <w:tcMar>
              <w:top w:type="dxa" w:w="120"/>
              <w:left w:type="dxa" w:w="240"/>
              <w:bottom w:type="dxa" w:w="120"/>
              <w:right w:type="dxa" w:w="240"/>
            </w:tcMar>
          </w:tcPr>
          <w:p>
            <w:pPr>
              <w:spacing w:after="0" w:before="0"/>
            </w:pPr>
            <w:r>
              <w:rPr>
                <w:rFonts w:ascii="Courier New" w:cs="Courier New" w:eastAsia="Courier New" w:hAnsi="Courier New"/>
                <w:color w:val="E8E8E8"/>
                <w:sz w:val="17"/>
                <w:szCs w:val="17"/>
              </w:rPr>
              <w:t xml:space="preserve">                    x_demo  (d_demo dims)</w:t>
            </w:r>
          </w:p>
          <w:p>
            <w:pPr>
              <w:spacing w:after="0" w:before="0"/>
            </w:pPr>
            <w:r>
              <w:rPr>
                <w:rFonts w:ascii="Courier New" w:cs="Courier New" w:eastAsia="Courier New" w:hAnsi="Courier New"/>
                <w:color w:val="E8E8E8"/>
                <w:sz w:val="17"/>
                <w:szCs w:val="17"/>
              </w:rPr>
              <w:t xml:space="preserve">                       │</w:t>
            </w:r>
          </w:p>
          <w:p>
            <w:pPr>
              <w:spacing w:after="0" w:before="0"/>
            </w:pPr>
            <w:r>
              <w:rPr>
                <w:rFonts w:ascii="Courier New" w:cs="Courier New" w:eastAsia="Courier New" w:hAnsi="Courier New"/>
                <w:color w:val="E8E8E8"/>
                <w:sz w:val="17"/>
                <w:szCs w:val="17"/>
              </w:rPr>
              <w:t xml:space="preserve">              ┌────────▼────────┐</w:t>
            </w:r>
          </w:p>
          <w:p>
            <w:pPr>
              <w:spacing w:after="0" w:before="0"/>
            </w:pPr>
            <w:r>
              <w:rPr>
                <w:rFonts w:ascii="Courier New" w:cs="Courier New" w:eastAsia="Courier New" w:hAnsi="Courier New"/>
                <w:color w:val="E8E8E8"/>
                <w:sz w:val="17"/>
                <w:szCs w:val="17"/>
              </w:rPr>
              <w:t xml:space="preserve">              │  Demographic    │   Linear(d_demo → H)  +  BatchNorm  +  ReLU</w:t>
            </w:r>
          </w:p>
          <w:p>
            <w:pPr>
              <w:spacing w:after="0" w:before="0"/>
            </w:pPr>
            <w:r>
              <w:rPr>
                <w:rFonts w:ascii="Courier New" w:cs="Courier New" w:eastAsia="Courier New" w:hAnsi="Courier New"/>
                <w:color w:val="E8E8E8"/>
                <w:sz w:val="17"/>
                <w:szCs w:val="17"/>
              </w:rPr>
              <w:t xml:space="preserve">              │  Encoder  E     │   Purpose: compress raw demographics into a</w:t>
            </w:r>
          </w:p>
          <w:p>
            <w:pPr>
              <w:spacing w:after="0" w:before="0"/>
            </w:pPr>
            <w:r>
              <w:rPr>
                <w:rFonts w:ascii="Courier New" w:cs="Courier New" w:eastAsia="Courier New" w:hAnsi="Courier New"/>
                <w:color w:val="E8E8E8"/>
                <w:sz w:val="17"/>
                <w:szCs w:val="17"/>
              </w:rPr>
              <w:t xml:space="preserve">              │                 │   shared representation useful across all tasks.</w:t>
            </w:r>
          </w:p>
          <w:p>
            <w:pPr>
              <w:spacing w:after="0" w:before="0"/>
            </w:pPr>
            <w:r>
              <w:rPr>
                <w:rFonts w:ascii="Courier New" w:cs="Courier New" w:eastAsia="Courier New" w:hAnsi="Courier New"/>
                <w:color w:val="E8E8E8"/>
                <w:sz w:val="17"/>
                <w:szCs w:val="17"/>
              </w:rPr>
              <w:t xml:space="preserve">              └────────┬────────┘</w:t>
            </w:r>
          </w:p>
          <w:p>
            <w:pPr>
              <w:spacing w:after="0" w:before="0"/>
            </w:pPr>
            <w:r>
              <w:rPr>
                <w:rFonts w:ascii="Courier New" w:cs="Courier New" w:eastAsia="Courier New" w:hAnsi="Courier New"/>
                <w:color w:val="E8E8E8"/>
                <w:sz w:val="17"/>
                <w:szCs w:val="17"/>
              </w:rPr>
              <w:t xml:space="preserve">                       │  h_demo  (H dims)</w:t>
            </w:r>
          </w:p>
          <w:p>
            <w:pPr>
              <w:spacing w:after="0" w:before="0"/>
            </w:pPr>
            <w:r>
              <w:rPr>
                <w:rFonts w:ascii="Courier New" w:cs="Courier New" w:eastAsia="Courier New" w:hAnsi="Courier New"/>
                <w:color w:val="E8E8E8"/>
                <w:sz w:val="17"/>
                <w:szCs w:val="17"/>
              </w:rPr>
              <w:t xml:space="preserve">                       │</w:t>
            </w:r>
          </w:p>
          <w:p>
            <w:pPr>
              <w:spacing w:after="0" w:before="0"/>
            </w:pPr>
            <w:r>
              <w:rPr>
                <w:rFonts w:ascii="Courier New" w:cs="Courier New" w:eastAsia="Courier New" w:hAnsi="Courier New"/>
                <w:color w:val="E8E8E8"/>
                <w:sz w:val="17"/>
                <w:szCs w:val="17"/>
              </w:rPr>
              <w:t xml:space="preserve">        ┌──────────────┼──────────────┐</w:t>
            </w:r>
          </w:p>
          <w:p>
            <w:pPr>
              <w:spacing w:after="0" w:before="0"/>
            </w:pPr>
            <w:r>
              <w:rPr>
                <w:rFonts w:ascii="Courier New" w:cs="Courier New" w:eastAsia="Courier New" w:hAnsi="Courier New"/>
                <w:color w:val="E8E8E8"/>
                <w:sz w:val="17"/>
                <w:szCs w:val="17"/>
              </w:rPr>
              <w:t xml:space="preserve">        │              │              │</w:t>
            </w:r>
          </w:p>
          <w:p>
            <w:pPr>
              <w:spacing w:after="0" w:before="0"/>
            </w:pPr>
            <w:r>
              <w:rPr>
                <w:rFonts w:ascii="Courier New" w:cs="Courier New" w:eastAsia="Courier New" w:hAnsi="Courier New"/>
                <w:color w:val="E8E8E8"/>
                <w:sz w:val="17"/>
                <w:szCs w:val="17"/>
              </w:rPr>
              <w:t xml:space="preserve">   d₋₁  │         d₋₂  │         d₋ₖ  │   (masked disease vectors, length K-1)</w:t>
            </w:r>
          </w:p>
          <w:p>
            <w:pPr>
              <w:spacing w:after="0" w:before="0"/>
            </w:pPr>
            <w:r>
              <w:rPr>
                <w:rFonts w:ascii="Courier New" w:cs="Courier New" w:eastAsia="Courier New" w:hAnsi="Courier New"/>
                <w:color w:val="E8E8E8"/>
                <w:sz w:val="17"/>
                <w:szCs w:val="17"/>
              </w:rPr>
              <w:t xml:space="preserve">        │              │              │</w:t>
            </w:r>
          </w:p>
          <w:p>
            <w:pPr>
              <w:spacing w:after="0" w:before="0"/>
            </w:pPr>
            <w:r>
              <w:rPr>
                <w:rFonts w:ascii="Courier New" w:cs="Courier New" w:eastAsia="Courier New" w:hAnsi="Courier New"/>
                <w:color w:val="E8E8E8"/>
                <w:sz w:val="17"/>
                <w:szCs w:val="17"/>
              </w:rPr>
              <w:t xml:space="preserve">  concat(h_demo,d₋₁)  concat(h_demo,d₋₂)  concat(h_demo,d₋ₖ)</w:t>
            </w:r>
          </w:p>
          <w:p>
            <w:pPr>
              <w:spacing w:after="0" w:before="0"/>
            </w:pPr>
            <w:r>
              <w:rPr>
                <w:rFonts w:ascii="Courier New" w:cs="Courier New" w:eastAsia="Courier New" w:hAnsi="Courier New"/>
                <w:color w:val="E8E8E8"/>
                <w:sz w:val="17"/>
                <w:szCs w:val="17"/>
              </w:rPr>
              <w:t xml:space="preserve">  dim = H + K - 1      dim = H + K - 1      dim = H + K - 1</w:t>
            </w:r>
          </w:p>
          <w:p>
            <w:pPr>
              <w:spacing w:after="0" w:before="0"/>
            </w:pPr>
            <w:r>
              <w:rPr>
                <w:rFonts w:ascii="Courier New" w:cs="Courier New" w:eastAsia="Courier New" w:hAnsi="Courier New"/>
                <w:color w:val="E8E8E8"/>
                <w:sz w:val="17"/>
                <w:szCs w:val="17"/>
              </w:rPr>
              <w:t xml:space="preserve">        │              │              │</w:t>
            </w:r>
          </w:p>
          <w:p>
            <w:pPr>
              <w:spacing w:after="0" w:before="0"/>
            </w:pPr>
            <w:r>
              <w:rPr>
                <w:rFonts w:ascii="Courier New" w:cs="Courier New" w:eastAsia="Courier New" w:hAnsi="Courier New"/>
                <w:color w:val="E8E8E8"/>
                <w:sz w:val="17"/>
                <w:szCs w:val="17"/>
              </w:rPr>
              <w:t xml:space="preserve">  ┌─────▼──────┐ ┌─────▼──────┐ ┌──▼─────────┐</w:t>
            </w:r>
          </w:p>
          <w:p>
            <w:pPr>
              <w:spacing w:after="0" w:before="0"/>
            </w:pPr>
            <w:r>
              <w:rPr>
                <w:rFonts w:ascii="Courier New" w:cs="Courier New" w:eastAsia="Courier New" w:hAnsi="Courier New"/>
                <w:color w:val="E8E8E8"/>
                <w:sz w:val="17"/>
                <w:szCs w:val="17"/>
              </w:rPr>
              <w:t xml:space="preserve">  │  Head₁     │ │  Head₂     │ │  Headₖ     │   Each head:</w:t>
            </w:r>
          </w:p>
          <w:p>
            <w:pPr>
              <w:spacing w:after="0" w:before="0"/>
            </w:pPr>
            <w:r>
              <w:rPr>
                <w:rFonts w:ascii="Courier New" w:cs="Courier New" w:eastAsia="Courier New" w:hAnsi="Courier New"/>
                <w:color w:val="E8E8E8"/>
                <w:sz w:val="17"/>
                <w:szCs w:val="17"/>
              </w:rPr>
              <w:t xml:space="preserve">  │  Linear    │ │  Linear    │ │  Linear    │   Linear(H+K-1 → H/2) + ReLU</w:t>
            </w:r>
          </w:p>
          <w:p>
            <w:pPr>
              <w:spacing w:after="0" w:before="0"/>
            </w:pPr>
            <w:r>
              <w:rPr>
                <w:rFonts w:ascii="Courier New" w:cs="Courier New" w:eastAsia="Courier New" w:hAnsi="Courier New"/>
                <w:color w:val="E8E8E8"/>
                <w:sz w:val="17"/>
                <w:szCs w:val="17"/>
              </w:rPr>
              <w:t xml:space="preserve">  │  (H+K-1    │ │  (H+K-1   │ │  (H+K-1   │   Linear(H/2 → 1)</w:t>
            </w:r>
          </w:p>
          <w:p>
            <w:pPr>
              <w:spacing w:after="0" w:before="0"/>
            </w:pPr>
            <w:r>
              <w:rPr>
                <w:rFonts w:ascii="Courier New" w:cs="Courier New" w:eastAsia="Courier New" w:hAnsi="Courier New"/>
                <w:color w:val="E8E8E8"/>
                <w:sz w:val="17"/>
                <w:szCs w:val="17"/>
              </w:rPr>
              <w:t xml:space="preserve">  │  → 1)      │ │  → 1)     │ │  → 1)     │   Sigmoid</w:t>
            </w:r>
          </w:p>
          <w:p>
            <w:pPr>
              <w:spacing w:after="0" w:before="0"/>
            </w:pPr>
            <w:r>
              <w:rPr>
                <w:rFonts w:ascii="Courier New" w:cs="Courier New" w:eastAsia="Courier New" w:hAnsi="Courier New"/>
                <w:color w:val="E8E8E8"/>
                <w:sz w:val="17"/>
                <w:szCs w:val="17"/>
              </w:rPr>
              <w:t xml:space="preserve">  └─────┬──────┘ └─────┬──────┘ └────┬───────┘</w:t>
            </w:r>
          </w:p>
          <w:p>
            <w:pPr>
              <w:spacing w:after="0" w:before="0"/>
            </w:pPr>
            <w:r>
              <w:rPr>
                <w:rFonts w:ascii="Courier New" w:cs="Courier New" w:eastAsia="Courier New" w:hAnsi="Courier New"/>
                <w:color w:val="E8E8E8"/>
                <w:sz w:val="17"/>
                <w:szCs w:val="17"/>
              </w:rPr>
              <w:t xml:space="preserve">        │              │              │</w:t>
            </w:r>
          </w:p>
          <w:p>
            <w:pPr>
              <w:spacing w:after="0" w:before="0"/>
            </w:pPr>
            <w:r>
              <w:rPr>
                <w:rFonts w:ascii="Courier New" w:cs="Courier New" w:eastAsia="Courier New" w:hAnsi="Courier New"/>
                <w:color w:val="E8E8E8"/>
                <w:sz w:val="17"/>
                <w:szCs w:val="17"/>
              </w:rPr>
              <w:t xml:space="preserve">      P(d₁)          P(d₂)          P(dₖ)</w:t>
            </w:r>
          </w:p>
          <w:p>
            <w:pPr>
              <w:spacing w:after="0" w:before="0"/>
            </w:pPr>
            <w:r>
              <w:rPr>
                <w:rFonts w:ascii="Courier New" w:cs="Courier New" w:eastAsia="Courier New" w:hAnsi="Courier New"/>
                <w:color w:val="E8E8E8"/>
                <w:sz w:val="17"/>
                <w:szCs w:val="17"/>
              </w:rPr>
              <w:t xml:space="preserve"/>
            </w:r>
          </w:p>
          <w:p>
            <w:pPr>
              <w:spacing w:after="0" w:before="0"/>
            </w:pPr>
            <w:r>
              <w:rPr>
                <w:rFonts w:ascii="Courier New" w:cs="Courier New" w:eastAsia="Courier New" w:hAnsi="Courier New"/>
                <w:color w:val="E8E8E8"/>
                <w:sz w:val="17"/>
                <w:szCs w:val="17"/>
              </w:rPr>
              <w:t xml:space="preserve">  Loss = Σₖ λₖ · BCE(dₖ, P(dₖ))     where λₖ = 1 / prevalence(dₖ)  (inverse freq weighting)</w:t>
            </w:r>
          </w:p>
        </w:tc>
      </w:tr>
    </w:tbl>
    <w:p>
      <w:pPr>
        <w:spacing w:after="60" w:before="60"/>
      </w:pPr>
      <w:r>
        <w:rPr>
          <w:sz w:val="20"/>
          <w:szCs w:val="20"/>
        </w:rPr>
        <w:t xml:space="preserve"> </w:t>
      </w:r>
    </w:p>
    <w:p>
      <w:pPr>
        <w:pStyle w:val="Heading2"/>
        <w:spacing w:after="120" w:before="240"/>
      </w:pPr>
      <w:r>
        <w:rPr>
          <w:rFonts w:ascii="Arial" w:cs="Arial" w:eastAsia="Arial" w:hAnsi="Arial"/>
          <w:b/>
          <w:bCs/>
          <w:color w:val="2E75B6"/>
          <w:sz w:val="28"/>
          <w:szCs w:val="28"/>
        </w:rPr>
        <w:t xml:space="preserve">4.3  Layer-by-Layer Design Rationale</w:t>
      </w:r>
    </w:p>
    <w:p>
      <w:pPr>
        <w:spacing w:after="100" w:before="60"/>
      </w:pPr>
      <w:r>
        <w:rPr>
          <w:rFonts w:ascii="Arial" w:cs="Arial" w:eastAsia="Arial" w:hAnsi="Arial"/>
          <w:sz w:val="20"/>
          <w:szCs w:val="20"/>
        </w:rPr>
        <w:t xml:space="preserve">Every architectural choice below is justified — not arbitrary.</w:t>
      </w:r>
    </w:p>
    <w:p>
      <w:pPr>
        <w:spacing w:after="60" w:before="60"/>
      </w:pPr>
      <w:r>
        <w:rPr>
          <w:sz w:val="20"/>
          <w:szCs w:val="20"/>
        </w:rPr>
        <w:t xml:space="preserve"> </w:t>
      </w:r>
    </w:p>
    <w:p>
      <w:pPr>
        <w:pStyle w:val="Heading3"/>
        <w:spacing w:after="80" w:before="180"/>
      </w:pPr>
      <w:r>
        <w:rPr>
          <w:rFonts w:ascii="Arial" w:cs="Arial" w:eastAsia="Arial" w:hAnsi="Arial"/>
          <w:b/>
          <w:bCs/>
          <w:color w:val="333333"/>
          <w:sz w:val="24"/>
          <w:szCs w:val="24"/>
        </w:rPr>
        <w:t xml:space="preserve">Layer 1 — Demographic Encoder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What it does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Maps raw demographics (age, sex, BMI, etc.) to a dense H-dimensional representation h_demo via Linear → BatchNorm → ReLU.</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Why shared</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Demographics are predictive of all diseases. Sharing this encoder forces the network to learn a single representation that is jointly useful for all K prediction tasks simultaneously. This is the core multi-task learning benefit — the encoder cannot overfit to one disease.</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Why BatchNorm</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NHANES variables have very different scales (age 0–80, BMI 15–60, income bands). BatchNorm prevents large-scale features from dominating the gradient in early layers.</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H dimension</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Recommend H = 64 or 128 for NHANES (~10k samples). Larger values risk overfitting on this sample size.</w:t>
            </w:r>
          </w:p>
        </w:tc>
      </w:tr>
    </w:tbl>
    <w:p>
      <w:pPr>
        <w:spacing w:after="60" w:before="60"/>
      </w:pPr>
      <w:r>
        <w:rPr>
          <w:sz w:val="20"/>
          <w:szCs w:val="20"/>
        </w:rPr>
        <w:t xml:space="preserve"> </w:t>
      </w:r>
    </w:p>
    <w:p>
      <w:pPr>
        <w:pStyle w:val="Heading3"/>
        <w:spacing w:after="80" w:before="180"/>
      </w:pPr>
      <w:r>
        <w:rPr>
          <w:rFonts w:ascii="Arial" w:cs="Arial" w:eastAsia="Arial" w:hAnsi="Arial"/>
          <w:b/>
          <w:bCs/>
          <w:color w:val="333333"/>
          <w:sz w:val="24"/>
          <w:szCs w:val="24"/>
        </w:rPr>
        <w:t xml:space="preserve">Masking — concat(h_demo, d₋ₖ)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What it does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For head k, remove disease k from the disease vector d to produce d₋ₖ of length K-1. Concatenate with h_demo to form the head input.</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Why remove dₖ</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This is the critical design constraint: the model cannot use disease k to predict disease k. Without this masking, the model would trivially learn to copy the input label, achieving perfect performance on the training set while learning nothing.</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Why concatenate rather than sum</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Concatenation preserves the demographic and disease signals as separate streams. Summation would collapse them into the same dimension, preventing the model from distinguishing whether a signal comes from demographics or disease status.</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Disease vector treatment</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The K-1 disease flags are fed as raw binary inputs (0/1). An optional extension is to pass them through a small embedding layer to learn continuous disease representations — but this requires more data than NHANES provides.</w:t>
            </w:r>
          </w:p>
        </w:tc>
      </w:tr>
    </w:tbl>
    <w:p>
      <w:pPr>
        <w:spacing w:after="60" w:before="60"/>
      </w:pPr>
      <w:r>
        <w:rPr>
          <w:sz w:val="20"/>
          <w:szCs w:val="20"/>
        </w:rPr>
        <w:t xml:space="preserve"> </w:t>
      </w:r>
    </w:p>
    <w:p>
      <w:pPr>
        <w:pStyle w:val="Heading3"/>
        <w:spacing w:after="80" w:before="180"/>
      </w:pPr>
      <w:r>
        <w:rPr>
          <w:rFonts w:ascii="Arial" w:cs="Arial" w:eastAsia="Arial" w:hAnsi="Arial"/>
          <w:b/>
          <w:bCs/>
          <w:color w:val="333333"/>
          <w:sz w:val="24"/>
          <w:szCs w:val="24"/>
        </w:rPr>
        <w:t xml:space="preserve">Task-Specific Heads (K independent heads)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What each head does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Two-layer MLP: Linear(H+K-1 → H/2) + ReLU, then Linear(H/2 → 1) + Sigmoid. Outputs P(dₖ = 1).</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Why task-specific (not shared to the end)</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The final transformation from shared representation to each disease probability must be learned independently — different diseases have different decision boundaries and feature weights. Sharing the final layer would force the same boundary for all diseases.</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Why two layers per head (not one)</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One linear layer cannot capture interactions between the demographic representation and the disease features. Two layers allow the head to learn, for example, that 'high BMI + has diabetes → elevated CVD risk' as a non-linear interaction.</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Why Sigmoid (not Softmax)</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Each disease is a separate binary outcome, not mutually exclusive. Sigmoid outputs an independent probability per disease. Softmax would force the probabilities to sum to 1, which is wrong — a patient can have multiple conditions simultaneously.</w:t>
            </w:r>
          </w:p>
        </w:tc>
      </w:tr>
    </w:tbl>
    <w:p>
      <w:pPr>
        <w:spacing w:after="60" w:before="60"/>
      </w:pPr>
      <w:r>
        <w:rPr>
          <w:sz w:val="20"/>
          <w:szCs w:val="20"/>
        </w:rPr>
        <w:t xml:space="preserve"> </w:t>
      </w:r>
    </w:p>
    <w:p>
      <w:pPr>
        <w:pStyle w:val="Heading3"/>
        <w:spacing w:after="80" w:before="180"/>
      </w:pPr>
      <w:r>
        <w:rPr>
          <w:rFonts w:ascii="Arial" w:cs="Arial" w:eastAsia="Arial" w:hAnsi="Arial"/>
          <w:b/>
          <w:bCs/>
          <w:color w:val="333333"/>
          <w:sz w:val="24"/>
          <w:szCs w:val="24"/>
        </w:rPr>
        <w:t xml:space="preserve">Loss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Formulation</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L = Σₖ λₖ · BCE(dₖ, P̂(dₖ))  where BCE is binary cross-entropy and λₖ is the inverse prevalence weight for disease k.</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Why inverse prevalence weighting</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Rare diseases (e.g. 3% prevalence) would contribute almost no gradient if weighted equally — the model would learn to always predict 'absent' for rare diseases and still achieve low loss. Upweighting rare diseases ensures they receive meaningful gradient signal.</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Why sum across heads (not average)</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Summing allows the total loss to scale with the number of diseases, which keeps gradients to the shared encoder meaningful. Averaging can cause the encoder gradients to become vanishingly small when K is large.</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Alternative: Focal Loss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For very rare diseases (prevalence &lt; 5%), focal loss — which down-weights easy negatives — can further improve sensitivity. Worth testing in ablation.</w:t>
            </w:r>
          </w:p>
        </w:tc>
      </w:tr>
    </w:tbl>
    <w:p>
      <w:pPr>
        <w:spacing w:after="60" w:before="60"/>
      </w:pPr>
      <w:r>
        <w:rPr>
          <w:sz w:val="20"/>
          <w:szCs w:val="20"/>
        </w:rPr>
        <w:t xml:space="preserve"> </w:t>
      </w:r>
    </w:p>
    <w:p>
      <w:pPr>
        <w:pStyle w:val="Heading2"/>
        <w:spacing w:after="120" w:before="240"/>
      </w:pPr>
      <w:r>
        <w:rPr>
          <w:rFonts w:ascii="Arial" w:cs="Arial" w:eastAsia="Arial" w:hAnsi="Arial"/>
          <w:b/>
          <w:bCs/>
          <w:color w:val="2E75B6"/>
          <w:sz w:val="28"/>
          <w:szCs w:val="28"/>
        </w:rPr>
        <w:t xml:space="preserve">4.4  Training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Optimiser</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Adam with lr = 1e-3. Use learning rate scheduler (ReduceLROnPlateau on validation AUC).</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Regularisation</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Dropout(0.3) after the demographic encoder. Light L2 weight decay (1e-4). Do NOT use heavy dropout on the K-1 disease inputs — these signals are already sparse.</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Early stopping</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Monitor macro-average AUC-PR across all K heads on validation set. Stop if no improvement in 10 epochs.</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Batch size</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64–128. Too small → noisy gradients; too large → misses rare positive examples in batch.</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Validation strategy</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Stratified k-fold (k=5) to ensure rare disease cases appear in every fold.</w:t>
            </w:r>
          </w:p>
        </w:tc>
      </w:tr>
    </w:tbl>
    <w:p>
      <w:pPr>
        <w:spacing w:after="60" w:before="60"/>
      </w:pPr>
      <w:r>
        <w:rPr>
          <w:sz w:val="20"/>
          <w:szCs w:val="20"/>
        </w:rPr>
        <w:t xml:space="preserve"> </w:t>
      </w:r>
    </w:p>
    <w:p>
      <w:pPr>
        <w:pStyle w:val="Heading2"/>
        <w:spacing w:after="120" w:before="240"/>
      </w:pPr>
      <w:r>
        <w:rPr>
          <w:rFonts w:ascii="Arial" w:cs="Arial" w:eastAsia="Arial" w:hAnsi="Arial"/>
          <w:b/>
          <w:bCs/>
          <w:color w:val="2E75B6"/>
          <w:sz w:val="28"/>
          <w:szCs w:val="28"/>
        </w:rPr>
        <w:t xml:space="preserve">4.5  PyTorch Implementation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1C1C1C" w:val="clear"/>
            <w:tcMar>
              <w:top w:type="dxa" w:w="120"/>
              <w:left w:type="dxa" w:w="240"/>
              <w:bottom w:type="dxa" w:w="120"/>
              <w:right w:type="dxa" w:w="240"/>
            </w:tcMar>
          </w:tcPr>
          <w:p>
            <w:pPr>
              <w:spacing w:after="0" w:before="0"/>
            </w:pPr>
            <w:r>
              <w:rPr>
                <w:rFonts w:ascii="Courier New" w:cs="Courier New" w:eastAsia="Courier New" w:hAnsi="Courier New"/>
                <w:color w:val="E8E8E8"/>
                <w:sz w:val="17"/>
                <w:szCs w:val="17"/>
              </w:rPr>
              <w:t xml:space="preserve">class MaskedMTLNet(nn.Module):</w:t>
            </w:r>
          </w:p>
          <w:p>
            <w:pPr>
              <w:spacing w:after="0" w:before="0"/>
            </w:pPr>
            <w:r>
              <w:rPr>
                <w:rFonts w:ascii="Courier New" w:cs="Courier New" w:eastAsia="Courier New" w:hAnsi="Courier New"/>
                <w:color w:val="E8E8E8"/>
                <w:sz w:val="17"/>
                <w:szCs w:val="17"/>
              </w:rPr>
              <w:t xml:space="preserve">    def __init__(self, d_demo, K, H=64):</w:t>
            </w:r>
          </w:p>
          <w:p>
            <w:pPr>
              <w:spacing w:after="0" w:before="0"/>
            </w:pPr>
            <w:r>
              <w:rPr>
                <w:rFonts w:ascii="Courier New" w:cs="Courier New" w:eastAsia="Courier New" w:hAnsi="Courier New"/>
                <w:color w:val="E8E8E8"/>
                <w:sz w:val="17"/>
                <w:szCs w:val="17"/>
              </w:rPr>
              <w:t xml:space="preserve">        super().__init__()</w:t>
            </w:r>
          </w:p>
          <w:p>
            <w:pPr>
              <w:spacing w:after="0" w:before="0"/>
            </w:pPr>
            <w:r>
              <w:rPr>
                <w:rFonts w:ascii="Courier New" w:cs="Courier New" w:eastAsia="Courier New" w:hAnsi="Courier New"/>
                <w:color w:val="E8E8E8"/>
                <w:sz w:val="17"/>
                <w:szCs w:val="17"/>
              </w:rPr>
              <w:t xml:space="preserve">        # Shared demographic encoder</w:t>
            </w:r>
          </w:p>
          <w:p>
            <w:pPr>
              <w:spacing w:after="0" w:before="0"/>
            </w:pPr>
            <w:r>
              <w:rPr>
                <w:rFonts w:ascii="Courier New" w:cs="Courier New" w:eastAsia="Courier New" w:hAnsi="Courier New"/>
                <w:color w:val="E8E8E8"/>
                <w:sz w:val="17"/>
                <w:szCs w:val="17"/>
              </w:rPr>
              <w:t xml:space="preserve">        self.encoder = nn.Sequential(</w:t>
            </w:r>
          </w:p>
          <w:p>
            <w:pPr>
              <w:spacing w:after="0" w:before="0"/>
            </w:pPr>
            <w:r>
              <w:rPr>
                <w:rFonts w:ascii="Courier New" w:cs="Courier New" w:eastAsia="Courier New" w:hAnsi="Courier New"/>
                <w:color w:val="E8E8E8"/>
                <w:sz w:val="17"/>
                <w:szCs w:val="17"/>
              </w:rPr>
              <w:t xml:space="preserve">            nn.Linear(d_demo, H),</w:t>
            </w:r>
          </w:p>
          <w:p>
            <w:pPr>
              <w:spacing w:after="0" w:before="0"/>
            </w:pPr>
            <w:r>
              <w:rPr>
                <w:rFonts w:ascii="Courier New" w:cs="Courier New" w:eastAsia="Courier New" w:hAnsi="Courier New"/>
                <w:color w:val="E8E8E8"/>
                <w:sz w:val="17"/>
                <w:szCs w:val="17"/>
              </w:rPr>
              <w:t xml:space="preserve">            nn.BatchNorm1d(H),</w:t>
            </w:r>
          </w:p>
          <w:p>
            <w:pPr>
              <w:spacing w:after="0" w:before="0"/>
            </w:pPr>
            <w:r>
              <w:rPr>
                <w:rFonts w:ascii="Courier New" w:cs="Courier New" w:eastAsia="Courier New" w:hAnsi="Courier New"/>
                <w:color w:val="E8E8E8"/>
                <w:sz w:val="17"/>
                <w:szCs w:val="17"/>
              </w:rPr>
              <w:t xml:space="preserve">            nn.ReLU(),</w:t>
            </w:r>
          </w:p>
          <w:p>
            <w:pPr>
              <w:spacing w:after="0" w:before="0"/>
            </w:pPr>
            <w:r>
              <w:rPr>
                <w:rFonts w:ascii="Courier New" w:cs="Courier New" w:eastAsia="Courier New" w:hAnsi="Courier New"/>
                <w:color w:val="E8E8E8"/>
                <w:sz w:val="17"/>
                <w:szCs w:val="17"/>
              </w:rPr>
              <w:t xml:space="preserve">            nn.Dropout(0.3)</w:t>
            </w:r>
          </w:p>
          <w:p>
            <w:pPr>
              <w:spacing w:after="0" w:before="0"/>
            </w:pPr>
            <w:r>
              <w:rPr>
                <w:rFonts w:ascii="Courier New" w:cs="Courier New" w:eastAsia="Courier New" w:hAnsi="Courier New"/>
                <w:color w:val="E8E8E8"/>
                <w:sz w:val="17"/>
                <w:szCs w:val="17"/>
              </w:rPr>
              <w:t xml:space="preserve">        )</w:t>
            </w:r>
          </w:p>
          <w:p>
            <w:pPr>
              <w:spacing w:after="0" w:before="0"/>
            </w:pPr>
            <w:r>
              <w:rPr>
                <w:rFonts w:ascii="Courier New" w:cs="Courier New" w:eastAsia="Courier New" w:hAnsi="Courier New"/>
                <w:color w:val="E8E8E8"/>
                <w:sz w:val="17"/>
                <w:szCs w:val="17"/>
              </w:rPr>
              <w:t xml:space="preserve">        # K task-specific heads; each sees h_demo + (K-1) disease flags</w:t>
            </w:r>
          </w:p>
          <w:p>
            <w:pPr>
              <w:spacing w:after="0" w:before="0"/>
            </w:pPr>
            <w:r>
              <w:rPr>
                <w:rFonts w:ascii="Courier New" w:cs="Courier New" w:eastAsia="Courier New" w:hAnsi="Courier New"/>
                <w:color w:val="E8E8E8"/>
                <w:sz w:val="17"/>
                <w:szCs w:val="17"/>
              </w:rPr>
              <w:t xml:space="preserve">        self.heads = nn.ModuleList([</w:t>
            </w:r>
          </w:p>
          <w:p>
            <w:pPr>
              <w:spacing w:after="0" w:before="0"/>
            </w:pPr>
            <w:r>
              <w:rPr>
                <w:rFonts w:ascii="Courier New" w:cs="Courier New" w:eastAsia="Courier New" w:hAnsi="Courier New"/>
                <w:color w:val="E8E8E8"/>
                <w:sz w:val="17"/>
                <w:szCs w:val="17"/>
              </w:rPr>
              <w:t xml:space="preserve">            nn.Sequential(</w:t>
            </w:r>
          </w:p>
          <w:p>
            <w:pPr>
              <w:spacing w:after="0" w:before="0"/>
            </w:pPr>
            <w:r>
              <w:rPr>
                <w:rFonts w:ascii="Courier New" w:cs="Courier New" w:eastAsia="Courier New" w:hAnsi="Courier New"/>
                <w:color w:val="E8E8E8"/>
                <w:sz w:val="17"/>
                <w:szCs w:val="17"/>
              </w:rPr>
              <w:t xml:space="preserve">                nn.Linear(H + K - 1, H // 2),</w:t>
            </w:r>
          </w:p>
          <w:p>
            <w:pPr>
              <w:spacing w:after="0" w:before="0"/>
            </w:pPr>
            <w:r>
              <w:rPr>
                <w:rFonts w:ascii="Courier New" w:cs="Courier New" w:eastAsia="Courier New" w:hAnsi="Courier New"/>
                <w:color w:val="E8E8E8"/>
                <w:sz w:val="17"/>
                <w:szCs w:val="17"/>
              </w:rPr>
              <w:t xml:space="preserve">                nn.ReLU(),</w:t>
            </w:r>
          </w:p>
          <w:p>
            <w:pPr>
              <w:spacing w:after="0" w:before="0"/>
            </w:pPr>
            <w:r>
              <w:rPr>
                <w:rFonts w:ascii="Courier New" w:cs="Courier New" w:eastAsia="Courier New" w:hAnsi="Courier New"/>
                <w:color w:val="E8E8E8"/>
                <w:sz w:val="17"/>
                <w:szCs w:val="17"/>
              </w:rPr>
              <w:t xml:space="preserve">                nn.Linear(H // 2, 1),</w:t>
            </w:r>
          </w:p>
          <w:p>
            <w:pPr>
              <w:spacing w:after="0" w:before="0"/>
            </w:pPr>
            <w:r>
              <w:rPr>
                <w:rFonts w:ascii="Courier New" w:cs="Courier New" w:eastAsia="Courier New" w:hAnsi="Courier New"/>
                <w:color w:val="E8E8E8"/>
                <w:sz w:val="17"/>
                <w:szCs w:val="17"/>
              </w:rPr>
              <w:t xml:space="preserve">                nn.Sigmoid()</w:t>
            </w:r>
          </w:p>
          <w:p>
            <w:pPr>
              <w:spacing w:after="0" w:before="0"/>
            </w:pPr>
            <w:r>
              <w:rPr>
                <w:rFonts w:ascii="Courier New" w:cs="Courier New" w:eastAsia="Courier New" w:hAnsi="Courier New"/>
                <w:color w:val="E8E8E8"/>
                <w:sz w:val="17"/>
                <w:szCs w:val="17"/>
              </w:rPr>
              <w:t xml:space="preserve">            ) for _ in range(K)</w:t>
            </w:r>
          </w:p>
          <w:p>
            <w:pPr>
              <w:spacing w:after="0" w:before="0"/>
            </w:pPr>
            <w:r>
              <w:rPr>
                <w:rFonts w:ascii="Courier New" w:cs="Courier New" w:eastAsia="Courier New" w:hAnsi="Courier New"/>
                <w:color w:val="E8E8E8"/>
                <w:sz w:val="17"/>
                <w:szCs w:val="17"/>
              </w:rPr>
              <w:t xml:space="preserve">        ])</w:t>
            </w:r>
          </w:p>
          <w:p>
            <w:pPr>
              <w:spacing w:after="0" w:before="0"/>
            </w:pPr>
            <w:r>
              <w:rPr>
                <w:rFonts w:ascii="Courier New" w:cs="Courier New" w:eastAsia="Courier New" w:hAnsi="Courier New"/>
                <w:color w:val="E8E8E8"/>
                <w:sz w:val="17"/>
                <w:szCs w:val="17"/>
              </w:rPr>
              <w:t xml:space="preserve">        self.K = K</w:t>
            </w:r>
          </w:p>
          <w:p>
            <w:pPr>
              <w:spacing w:after="0" w:before="0"/>
            </w:pPr>
            <w:r>
              <w:rPr>
                <w:rFonts w:ascii="Courier New" w:cs="Courier New" w:eastAsia="Courier New" w:hAnsi="Courier New"/>
                <w:color w:val="E8E8E8"/>
                <w:sz w:val="17"/>
                <w:szCs w:val="17"/>
              </w:rPr>
              <w:t xml:space="preserve"/>
            </w:r>
          </w:p>
          <w:p>
            <w:pPr>
              <w:spacing w:after="0" w:before="0"/>
            </w:pPr>
            <w:r>
              <w:rPr>
                <w:rFonts w:ascii="Courier New" w:cs="Courier New" w:eastAsia="Courier New" w:hAnsi="Courier New"/>
                <w:color w:val="E8E8E8"/>
                <w:sz w:val="17"/>
                <w:szCs w:val="17"/>
              </w:rPr>
              <w:t xml:space="preserve">    def forward(self, x_demo, d):</w:t>
            </w:r>
          </w:p>
          <w:p>
            <w:pPr>
              <w:spacing w:after="0" w:before="0"/>
            </w:pPr>
            <w:r>
              <w:rPr>
                <w:rFonts w:ascii="Courier New" w:cs="Courier New" w:eastAsia="Courier New" w:hAnsi="Courier New"/>
                <w:color w:val="E8E8E8"/>
                <w:sz w:val="17"/>
                <w:szCs w:val="17"/>
              </w:rPr>
              <w:t xml:space="preserve">        h = self.encoder(x_demo)          # (batch, H)</w:t>
            </w:r>
          </w:p>
          <w:p>
            <w:pPr>
              <w:spacing w:after="0" w:before="0"/>
            </w:pPr>
            <w:r>
              <w:rPr>
                <w:rFonts w:ascii="Courier New" w:cs="Courier New" w:eastAsia="Courier New" w:hAnsi="Courier New"/>
                <w:color w:val="E8E8E8"/>
                <w:sz w:val="17"/>
                <w:szCs w:val="17"/>
              </w:rPr>
              <w:t xml:space="preserve">        preds = []</w:t>
            </w:r>
          </w:p>
          <w:p>
            <w:pPr>
              <w:spacing w:after="0" w:before="0"/>
            </w:pPr>
            <w:r>
              <w:rPr>
                <w:rFonts w:ascii="Courier New" w:cs="Courier New" w:eastAsia="Courier New" w:hAnsi="Courier New"/>
                <w:color w:val="E8E8E8"/>
                <w:sz w:val="17"/>
                <w:szCs w:val="17"/>
              </w:rPr>
              <w:t xml:space="preserve">        for k in range(self.K):</w:t>
            </w:r>
          </w:p>
          <w:p>
            <w:pPr>
              <w:spacing w:after="0" w:before="0"/>
            </w:pPr>
            <w:r>
              <w:rPr>
                <w:rFonts w:ascii="Courier New" w:cs="Courier New" w:eastAsia="Courier New" w:hAnsi="Courier New"/>
                <w:color w:val="E8E8E8"/>
                <w:sz w:val="17"/>
                <w:szCs w:val="17"/>
              </w:rPr>
              <w:t xml:space="preserve">            # Mask out disease k — never use dₖ to predict dₖ</w:t>
            </w:r>
          </w:p>
          <w:p>
            <w:pPr>
              <w:spacing w:after="0" w:before="0"/>
            </w:pPr>
            <w:r>
              <w:rPr>
                <w:rFonts w:ascii="Courier New" w:cs="Courier New" w:eastAsia="Courier New" w:hAnsi="Courier New"/>
                <w:color w:val="E8E8E8"/>
                <w:sz w:val="17"/>
                <w:szCs w:val="17"/>
              </w:rPr>
              <w:t xml:space="preserve">            d_masked = torch.cat([d[:, :k], d[:, k+1:]], dim=1)  # (batch, K-1)</w:t>
            </w:r>
          </w:p>
          <w:p>
            <w:pPr>
              <w:spacing w:after="0" w:before="0"/>
            </w:pPr>
            <w:r>
              <w:rPr>
                <w:rFonts w:ascii="Courier New" w:cs="Courier New" w:eastAsia="Courier New" w:hAnsi="Courier New"/>
                <w:color w:val="E8E8E8"/>
                <w:sz w:val="17"/>
                <w:szCs w:val="17"/>
              </w:rPr>
              <w:t xml:space="preserve">            head_in = torch.cat([h, d_masked], dim=1)             # (batch, H+K-1)</w:t>
            </w:r>
          </w:p>
          <w:p>
            <w:pPr>
              <w:spacing w:after="0" w:before="0"/>
            </w:pPr>
            <w:r>
              <w:rPr>
                <w:rFonts w:ascii="Courier New" w:cs="Courier New" w:eastAsia="Courier New" w:hAnsi="Courier New"/>
                <w:color w:val="E8E8E8"/>
                <w:sz w:val="17"/>
                <w:szCs w:val="17"/>
              </w:rPr>
              <w:t xml:space="preserve">            preds.append(self.heads[k](head_in))                   # (batch, 1)</w:t>
            </w:r>
          </w:p>
          <w:p>
            <w:pPr>
              <w:spacing w:after="0" w:before="0"/>
            </w:pPr>
            <w:r>
              <w:rPr>
                <w:rFonts w:ascii="Courier New" w:cs="Courier New" w:eastAsia="Courier New" w:hAnsi="Courier New"/>
                <w:color w:val="E8E8E8"/>
                <w:sz w:val="17"/>
                <w:szCs w:val="17"/>
              </w:rPr>
              <w:t xml:space="preserve">        return torch.cat(preds, dim=1)                            # (batch, K)</w:t>
            </w:r>
          </w:p>
          <w:p>
            <w:pPr>
              <w:spacing w:after="0" w:before="0"/>
            </w:pPr>
            <w:r>
              <w:rPr>
                <w:rFonts w:ascii="Courier New" w:cs="Courier New" w:eastAsia="Courier New" w:hAnsi="Courier New"/>
                <w:color w:val="E8E8E8"/>
                <w:sz w:val="17"/>
                <w:szCs w:val="17"/>
              </w:rPr>
              <w:t xml:space="preserve"/>
            </w:r>
          </w:p>
          <w:p>
            <w:pPr>
              <w:spacing w:after="0" w:before="0"/>
            </w:pPr>
            <w:r>
              <w:rPr>
                <w:rFonts w:ascii="Courier New" w:cs="Courier New" w:eastAsia="Courier New" w:hAnsi="Courier New"/>
                <w:color w:val="E8E8E8"/>
                <w:sz w:val="17"/>
                <w:szCs w:val="17"/>
              </w:rPr>
              <w:t xml:space="preserve"># Inverse prevalence weights</w:t>
            </w:r>
          </w:p>
          <w:p>
            <w:pPr>
              <w:spacing w:after="0" w:before="0"/>
            </w:pPr>
            <w:r>
              <w:rPr>
                <w:rFonts w:ascii="Courier New" w:cs="Courier New" w:eastAsia="Courier New" w:hAnsi="Courier New"/>
                <w:color w:val="E8E8E8"/>
                <w:sz w:val="17"/>
                <w:szCs w:val="17"/>
              </w:rPr>
              <w:t xml:space="preserve">prevalences = torch.tensor([p_1, p_2, ..., p_K])  # from training data</w:t>
            </w:r>
          </w:p>
          <w:p>
            <w:pPr>
              <w:spacing w:after="0" w:before="0"/>
            </w:pPr>
            <w:r>
              <w:rPr>
                <w:rFonts w:ascii="Courier New" w:cs="Courier New" w:eastAsia="Courier New" w:hAnsi="Courier New"/>
                <w:color w:val="E8E8E8"/>
                <w:sz w:val="17"/>
                <w:szCs w:val="17"/>
              </w:rPr>
              <w:t xml:space="preserve">weights = 1.0 / prevalences</w:t>
            </w:r>
          </w:p>
          <w:p>
            <w:pPr>
              <w:spacing w:after="0" w:before="0"/>
            </w:pPr>
            <w:r>
              <w:rPr>
                <w:rFonts w:ascii="Courier New" w:cs="Courier New" w:eastAsia="Courier New" w:hAnsi="Courier New"/>
                <w:color w:val="E8E8E8"/>
                <w:sz w:val="17"/>
                <w:szCs w:val="17"/>
              </w:rPr>
              <w:t xml:space="preserve">weights /= weights.sum()   # normalise so total weight = 1</w:t>
            </w:r>
          </w:p>
          <w:p>
            <w:pPr>
              <w:spacing w:after="0" w:before="0"/>
            </w:pPr>
            <w:r>
              <w:rPr>
                <w:rFonts w:ascii="Courier New" w:cs="Courier New" w:eastAsia="Courier New" w:hAnsi="Courier New"/>
                <w:color w:val="E8E8E8"/>
                <w:sz w:val="17"/>
                <w:szCs w:val="17"/>
              </w:rPr>
              <w:t xml:space="preserve"/>
            </w:r>
          </w:p>
          <w:p>
            <w:pPr>
              <w:spacing w:after="0" w:before="0"/>
            </w:pPr>
            <w:r>
              <w:rPr>
                <w:rFonts w:ascii="Courier New" w:cs="Courier New" w:eastAsia="Courier New" w:hAnsi="Courier New"/>
                <w:color w:val="E8E8E8"/>
                <w:sz w:val="17"/>
                <w:szCs w:val="17"/>
              </w:rPr>
              <w:t xml:space="preserve"># Loss</w:t>
            </w:r>
          </w:p>
          <w:p>
            <w:pPr>
              <w:spacing w:after="0" w:before="0"/>
            </w:pPr>
            <w:r>
              <w:rPr>
                <w:rFonts w:ascii="Courier New" w:cs="Courier New" w:eastAsia="Courier New" w:hAnsi="Courier New"/>
                <w:color w:val="E8E8E8"/>
                <w:sz w:val="17"/>
                <w:szCs w:val="17"/>
              </w:rPr>
              <w:t xml:space="preserve">def weighted_bce_loss(preds, targets, weights):</w:t>
            </w:r>
          </w:p>
          <w:p>
            <w:pPr>
              <w:spacing w:after="0" w:before="0"/>
            </w:pPr>
            <w:r>
              <w:rPr>
                <w:rFonts w:ascii="Courier New" w:cs="Courier New" w:eastAsia="Courier New" w:hAnsi="Courier New"/>
                <w:color w:val="E8E8E8"/>
                <w:sz w:val="17"/>
                <w:szCs w:val="17"/>
              </w:rPr>
              <w:t xml:space="preserve">    bce = F.binary_cross_entropy(preds, targets, reduction='none')  # (batch, K)</w:t>
            </w:r>
          </w:p>
          <w:p>
            <w:pPr>
              <w:spacing w:after="0" w:before="0"/>
            </w:pPr>
            <w:r>
              <w:rPr>
                <w:rFonts w:ascii="Courier New" w:cs="Courier New" w:eastAsia="Courier New" w:hAnsi="Courier New"/>
                <w:color w:val="E8E8E8"/>
                <w:sz w:val="17"/>
                <w:szCs w:val="17"/>
              </w:rPr>
              <w:t xml:space="preserve">    return (bce * weights.unsqueeze(0)).sum(dim=1).mean()</w:t>
            </w:r>
          </w:p>
        </w:tc>
      </w:tr>
    </w:tbl>
    <w:p>
      <w:pPr>
        <w:spacing w:after="60" w:before="60"/>
      </w:pPr>
      <w:r>
        <w:rPr>
          <w:sz w:val="20"/>
          <w:szCs w:val="20"/>
        </w:rPr>
        <w:t xml:space="preserve"> </w:t>
      </w:r>
    </w:p>
    <w:p>
      <w:pPr>
        <w:pStyle w:val="Heading1"/>
        <w:spacing w:after="160" w:before="320"/>
      </w:pPr>
      <w:r>
        <w:rPr>
          <w:rFonts w:ascii="Arial" w:cs="Arial" w:eastAsia="Arial" w:hAnsi="Arial"/>
          <w:b/>
          <w:bCs/>
          <w:color w:val="1F4E79"/>
          <w:sz w:val="36"/>
          <w:szCs w:val="36"/>
        </w:rPr>
        <w:t xml:space="preserve">5. Using SHAP for Interpretability</w:t>
      </w:r>
    </w:p>
    <w:p>
      <w:pPr>
        <w:spacing w:after="100" w:before="60"/>
      </w:pPr>
      <w:r>
        <w:rPr>
          <w:rFonts w:ascii="Arial" w:cs="Arial" w:eastAsia="Arial" w:hAnsi="Arial"/>
          <w:sz w:val="20"/>
          <w:szCs w:val="20"/>
        </w:rPr>
        <w:t xml:space="preserve">The most novel interpretability contribution of your project is applying SHAP to the shared demographic encoder and to each head separately — identifying which diseases and demographics drive each prediction.</w:t>
      </w:r>
    </w:p>
    <w:p>
      <w:pPr>
        <w:spacing w:after="60" w:before="60"/>
      </w:pPr>
      <w:r>
        <w:rPr>
          <w:sz w:val="20"/>
          <w:szCs w:val="20"/>
        </w:rPr>
        <w:t xml:space="preserve"> </w:t>
      </w:r>
    </w:p>
    <w:p>
      <w:pPr>
        <w:pStyle w:val="Heading2"/>
        <w:spacing w:after="120" w:before="240"/>
      </w:pPr>
      <w:r>
        <w:rPr>
          <w:rFonts w:ascii="Arial" w:cs="Arial" w:eastAsia="Arial" w:hAnsi="Arial"/>
          <w:b/>
          <w:bCs/>
          <w:color w:val="2E75B6"/>
          <w:sz w:val="28"/>
          <w:szCs w:val="28"/>
        </w:rPr>
        <w:t xml:space="preserve">5.1  What to compute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Global SHAP (shared encoder)</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Run DeepSHAP or KernelSHAP on the full model. For each disease head k, compute mean |SHAP| for each demographic feature and each disease dⱼ (j≠k). Produces a K × (d_demo + K-1) importance matrix.</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Disease-to-disease SHAP</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For head k, the SHAP values of d₋ₖ directly quantify: 'how much does knowing you have disease j change the predicted probability of disease k?' This is the core comorbidity insight.</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SHAP interaction values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Optional: SHAP interaction values identify synergies — e.g. 'having both diabetes AND being female increases CVD risk beyond either alone.'</w:t>
            </w:r>
          </w:p>
        </w:tc>
      </w:tr>
    </w:tbl>
    <w:p>
      <w:pPr>
        <w:spacing w:after="60" w:before="60"/>
      </w:pPr>
      <w:r>
        <w:rPr>
          <w:sz w:val="20"/>
          <w:szCs w:val="20"/>
        </w:rPr>
        <w:t xml:space="preserve"> </w:t>
      </w:r>
    </w:p>
    <w:p>
      <w:pPr>
        <w:pStyle w:val="Heading2"/>
        <w:spacing w:after="120" w:before="240"/>
      </w:pPr>
      <w:r>
        <w:rPr>
          <w:rFonts w:ascii="Arial" w:cs="Arial" w:eastAsia="Arial" w:hAnsi="Arial"/>
          <w:b/>
          <w:bCs/>
          <w:color w:val="2E75B6"/>
          <w:sz w:val="28"/>
          <w:szCs w:val="28"/>
        </w:rPr>
        <w:t xml:space="preserve">5.2  What SHAP cannot tell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2"/>
                <w:szCs w:val="22"/>
              </w:rPr>
              <w:t xml:space="preserve">⚠</w:t>
            </w:r>
          </w:p>
        </w:tc>
        <w:tc>
          <w:tcPr>
            <w:tcW w:type="dxa" w:w="9160"/>
            <w:tcBorders>
              <w:top w:val="single" w:color="AAAAAA" w:sz="1"/>
              <w:left w:val="single" w:color="AAAAAA" w:sz="1"/>
              <w:bottom w:val="single" w:color="AAAAAA" w:sz="1"/>
              <w:right w:val="single" w:color="AAAAAA" w:sz="1"/>
            </w:tcBorders>
            <w:shd w:fill="FFF3CD" w:val="clear"/>
            <w:tcMar>
              <w:top w:type="dxa" w:w="80"/>
              <w:left w:type="dxa" w:w="130"/>
              <w:bottom w:type="dxa" w:w="80"/>
              <w:right w:type="dxa" w:w="130"/>
            </w:tcMar>
          </w:tcPr>
          <w:p>
            <w:r>
              <w:rPr>
                <w:rFonts w:ascii="Arial" w:cs="Arial" w:eastAsia="Arial" w:hAnsi="Arial"/>
                <w:i/>
                <w:iCs/>
                <w:sz w:val="19"/>
                <w:szCs w:val="19"/>
              </w:rPr>
              <w:t xml:space="preserve">SHAP values measure feature contribution to the model's prediction, not causal effect. A high SHAP value for 'has diabetes' in the CVD head means the model uses it heavily — it does not mean diabetes causes CVD. Be careful not to overstate the interpretation in your write-up.</w:t>
            </w:r>
          </w:p>
        </w:tc>
      </w:tr>
    </w:tbl>
    <w:p>
      <w:pPr>
        <w:spacing w:after="60" w:before="60"/>
      </w:pPr>
      <w:r>
        <w:rPr>
          <w:sz w:val="20"/>
          <w:szCs w:val="20"/>
        </w:rPr>
        <w:t xml:space="preserve"> </w:t>
      </w:r>
    </w:p>
    <w:p>
      <w:pPr>
        <w:pStyle w:val="Heading1"/>
        <w:spacing w:after="160" w:before="320"/>
      </w:pPr>
      <w:r>
        <w:rPr>
          <w:rFonts w:ascii="Arial" w:cs="Arial" w:eastAsia="Arial" w:hAnsi="Arial"/>
          <w:b/>
          <w:bCs/>
          <w:color w:val="1F4E79"/>
          <w:sz w:val="36"/>
          <w:szCs w:val="36"/>
        </w:rPr>
        <w:t xml:space="preserve">6. Summary of Your Novelty Contribution</w:t>
      </w:r>
    </w:p>
    <w:p>
      <w:pPr>
        <w:spacing w:after="100" w:before="60"/>
      </w:pPr>
      <w:r>
        <w:rPr>
          <w:rFonts w:ascii="Arial" w:cs="Arial" w:eastAsia="Arial" w:hAnsi="Arial"/>
          <w:sz w:val="20"/>
          <w:szCs w:val="20"/>
        </w:rPr>
        <w:t xml:space="preserve">Based on the literature review and architecture design, the following combination does not exist in the published literature:</w:t>
      </w:r>
    </w:p>
    <w:p>
      <w:pPr>
        <w:spacing w:after="60" w:before="6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Feature</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Status in literature</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MTL NN on cross-sectional survey data</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Only Batista 2020 uses NHANES; single-task only</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Binary disease flags as explicit input features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Used incidentally (Batista 2020); never by design</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Masked heads — never predict dₖ using dₖ</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Never implemented in tabular comorbidity literature</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SHAP on shared encoder trunk across all tasks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Absent from all reviewed papers</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Disease-to-disease SHAP values</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Completely novel framing</w:t>
            </w:r>
          </w:p>
        </w:tc>
      </w:tr>
      <w:tr>
        <w:tc>
          <w:tcPr>
            <w:tcBorders>
              <w:top w:val="single" w:color="AAAAAA" w:sz="1"/>
              <w:left w:val="single" w:color="AAAAAA" w:sz="1"/>
              <w:bottom w:val="single" w:color="AAAAAA" w:sz="1"/>
              <w:right w:val="single" w:color="AAAAAA" w:sz="1"/>
            </w:tcBorders>
            <w:shd w:fill="D6E4F0" w:val="clear"/>
            <w:tcMar>
              <w:top w:type="dxa" w:w="80"/>
              <w:left w:type="dxa" w:w="130"/>
              <w:bottom w:type="dxa" w:w="80"/>
              <w:right w:type="dxa" w:w="130"/>
            </w:tcMar>
          </w:tcPr>
          <w:p>
            <w:r>
              <w:rPr>
                <w:rFonts w:ascii="Arial" w:cs="Arial" w:eastAsia="Arial" w:hAnsi="Arial"/>
                <w:b/>
                <w:bCs/>
                <w:sz w:val="18"/>
                <w:szCs w:val="18"/>
              </w:rPr>
              <w:t xml:space="preserve">Benchmark: MTL-NN vs K independent RF/XGBoost</w:t>
            </w:r>
          </w:p>
        </w:tc>
        <w:tc>
          <w:tcPr>
            <w:tcBorders>
              <w:top w:val="single" w:color="AAAAAA" w:sz="1"/>
              <w:left w:val="single" w:color="AAAAAA" w:sz="1"/>
              <w:bottom w:val="single" w:color="AAAAAA" w:sz="1"/>
              <w:right w:val="single" w:color="AAAAAA" w:sz="1"/>
            </w:tcBorders>
            <w:shd w:fill="EBF5FB" w:val="clear"/>
            <w:tcMar>
              <w:top w:type="dxa" w:w="80"/>
              <w:left w:type="dxa" w:w="130"/>
              <w:bottom w:type="dxa" w:w="80"/>
              <w:right w:type="dxa" w:w="130"/>
            </w:tcMar>
          </w:tcPr>
          <w:p>
            <w:r>
              <w:rPr>
                <w:rFonts w:ascii="Arial" w:cs="Arial" w:eastAsia="Arial" w:hAnsi="Arial"/>
                <w:sz w:val="18"/>
                <w:szCs w:val="18"/>
              </w:rPr>
              <w:t xml:space="preserve">No clean existing benchmark with this exact feature set</w:t>
            </w:r>
          </w:p>
        </w:tc>
      </w:tr>
    </w:tbl>
    <w:p>
      <w:pPr>
        <w:spacing w:after="60" w:before="60"/>
      </w:pPr>
      <w:r>
        <w:rPr>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single" w:color="AAAAAA" w:sz="1"/>
              <w:left w:val="single" w:color="AAAAAA" w:sz="1"/>
              <w:bottom w:val="single" w:color="AAAAAA" w:sz="1"/>
              <w:right w:val="single" w:color="AAAAAA" w:sz="1"/>
            </w:tcBorders>
            <w:shd w:fill="1F4E79" w:val="clear"/>
            <w:tcMar>
              <w:top w:type="dxa" w:w="80"/>
              <w:left w:type="dxa" w:w="130"/>
              <w:bottom w:type="dxa" w:w="80"/>
              <w:right w:type="dxa" w:w="130"/>
            </w:tcMar>
            <w:vAlign w:val="center"/>
          </w:tcPr>
          <w:p>
            <w:pPr>
              <w:jc w:val="center"/>
            </w:pPr>
            <w:r>
              <w:rPr>
                <w:rFonts w:ascii="Arial" w:cs="Arial" w:eastAsia="Arial" w:hAnsi="Arial"/>
                <w:b/>
                <w:bCs/>
                <w:color w:val="FFFFFF"/>
                <w:sz w:val="22"/>
                <w:szCs w:val="22"/>
              </w:rPr>
              <w:t xml:space="preserve">✓</w:t>
            </w:r>
          </w:p>
        </w:tc>
        <w:tc>
          <w:tcPr>
            <w:tcW w:type="dxa" w:w="9160"/>
            <w:tcBorders>
              <w:top w:val="single" w:color="AAAAAA" w:sz="1"/>
              <w:left w:val="single" w:color="AAAAAA" w:sz="1"/>
              <w:bottom w:val="single" w:color="AAAAAA" w:sz="1"/>
              <w:right w:val="single" w:color="AAAAAA" w:sz="1"/>
            </w:tcBorders>
            <w:shd w:fill="D5F5E3" w:val="clear"/>
            <w:tcMar>
              <w:top w:type="dxa" w:w="80"/>
              <w:left w:type="dxa" w:w="130"/>
              <w:bottom w:type="dxa" w:w="80"/>
              <w:right w:type="dxa" w:w="130"/>
            </w:tcMar>
          </w:tcPr>
          <w:p>
            <w:r>
              <w:rPr>
                <w:rFonts w:ascii="Arial" w:cs="Arial" w:eastAsia="Arial" w:hAnsi="Arial"/>
                <w:i/>
                <w:iCs/>
                <w:sz w:val="19"/>
                <w:szCs w:val="19"/>
              </w:rPr>
              <w:t xml:space="preserve">Your claim is not that the NN outperforms RF/XGBoost — it may not on NHANES. Your claim is that the MTL design with disease-masked heads and SHAP on the shared trunk enables a new type of comorbidity analysis that tree-based methods cannot replicate. That is a defensible and publishable contribution.</w:t>
            </w:r>
          </w:p>
        </w:tc>
      </w:tr>
    </w:tbl>
    <w:p>
      <w:pPr>
        <w:spacing w:after="60" w:before="60"/>
      </w:pPr>
      <w:r>
        <w:rPr>
          <w:sz w:val="20"/>
          <w:szCs w:val="20"/>
        </w:rP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2026-03-06T19:19:45.364Z</dcterms:created>
  <dcterms:modified xsi:type="dcterms:W3CDTF">2026-03-06T19:19:45.365Z</dcterms:modified>
</cp:coreProperties>
</file>

<file path=docProps/custom.xml><?xml version="1.0" encoding="utf-8"?>
<Properties xmlns="http://schemas.openxmlformats.org/officeDocument/2006/custom-properties" xmlns:vt="http://schemas.openxmlformats.org/officeDocument/2006/docPropsVTypes"/>
</file>