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Literature Review: ML for Disease Comorbidity Prediction</w:t>
      </w:r>
    </w:p>
    <w:p>
      <w:r>
        <w:rPr>
          <w:rFonts w:ascii="Arial" w:cs="Arial" w:eastAsia="Arial" w:hAnsi="Arial"/>
          <w:i/>
          <w:iCs/>
          <w:color w:val="555555"/>
          <w:sz w:val="18"/>
          <w:szCs w:val="18"/>
        </w:rPr>
        <w:t xml:space="preserve">Ranked by relevance to cross-sectional survey MTL with disease-as-feature inputs and SHAP interpretability</w:t>
      </w:r>
    </w:p>
    <w:p>
      <w:r>
        <w:t xml:space="preserve"/>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800"/>
        <w:gridCol w:w="2200"/>
        <w:gridCol w:w="2800"/>
        <w:gridCol w:w="240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Paper &amp; Year</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&amp; Scale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Findings</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 vs Your Project</w:t>
            </w:r>
          </w:p>
        </w:tc>
      </w:tr>
      <w:tr>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#1</w:t>
            </w:r>
          </w:p>
          <w:p>
            <w:pPr>
              <w:jc w:val="center"/>
            </w:pPr>
            <w:r>
              <w:rPr>
                <w:rFonts w:ascii="Arial" w:cs="Arial" w:eastAsia="Arial" w:hAnsi="Arial"/>
                <w:sz w:val="16"/>
                <w:szCs w:val="16"/>
              </w:rPr>
              <w:t xml:space="preserve">★★★★★</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7"/>
                <w:szCs w:val="17"/>
              </w:rPr>
              <w:t xml:space="preserve">Chen et al.
Nature Sci Reports
(2025)</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7"/>
                <w:szCs w:val="17"/>
              </w:rPr>
              <w:t xml:space="preserve">Taiwan EHR nationwide dataset; ~2M patients; 4 chronic diseases</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7"/>
                <w:szCs w:val="17"/>
              </w:rPr>
              <w:t xml:space="preserve">MTL + Word2Vec ICD embeddings + Multi-Head Self-Attention (MHSA) + LSTM (MAND framework)</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7"/>
                <w:szCs w:val="17"/>
              </w:rPr>
              <w:t xml:space="preserve">MTL outperforms single-task learning for some diseases. AUC 0.89 with full records vs 0.80 with demographics only — shows disease records add 9pp. MAND-LSTM best overall. Shared learning confirms comorbidity signal exists across diabetes, heart disease, stroke, hypertension.</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7"/>
                <w:szCs w:val="17"/>
              </w:rPr>
              <w:t xml:space="preserve">Longitudinal EHR only. ICD code sequences, not binary flags. No SHAP. No cross-sectional survey data. Diseases not used as explicit input features to heads.</w:t>
            </w:r>
          </w:p>
        </w:tc>
      </w:tr>
      <w:tr>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#2</w:t>
            </w:r>
          </w:p>
          <w:p>
            <w:pPr>
              <w:jc w:val="center"/>
            </w:pPr>
            <w:r>
              <w:rPr>
                <w:rFonts w:ascii="Arial" w:cs="Arial" w:eastAsia="Arial" w:hAnsi="Arial"/>
                <w:sz w:val="16"/>
                <w:szCs w:val="16"/>
              </w:rPr>
              <w:t xml:space="preserve">★★★★☆</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7"/>
                <w:szCs w:val="17"/>
              </w:rPr>
              <w:t xml:space="preserve">Kim et al.
Nature Sci Reports
(2023)</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7"/>
                <w:szCs w:val="17"/>
              </w:rPr>
              <w:t xml:space="preserve">Longitudinal EHR, South Korea; time-series patient data; diabetes + hypertension</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7"/>
                <w:szCs w:val="17"/>
              </w:rPr>
              <w:t xml:space="preserve">CNN-LSTM MTL; BRITS imputation for missing time-series; LASSO feature selection; task-weighted loss [15:1] for imbalance</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7"/>
                <w:szCs w:val="17"/>
              </w:rPr>
              <w:t xml:space="preserve">MTL CNN-LSTM outperforms single-task LSTM, GRU, RNN on AUC and recall. Hypertension harder than diabetes due to class balance. Task weighting critical — naive [1:1] weights underperform. MTL improved all metrics for diabetes; mixed results for hypertension.</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7"/>
                <w:szCs w:val="17"/>
              </w:rPr>
              <w:t xml:space="preserve">Requires time-series data. No cross-sectional survey. No diseases-as-features. No SHAP or interpretability. Intra-person temporal framing, not point-in-time association.</w:t>
            </w:r>
          </w:p>
        </w:tc>
      </w:tr>
      <w:tr>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#3</w:t>
            </w:r>
          </w:p>
          <w:p>
            <w:pPr>
              <w:jc w:val="center"/>
            </w:pPr>
            <w:r>
              <w:rPr>
                <w:rFonts w:ascii="Arial" w:cs="Arial" w:eastAsia="Arial" w:hAnsi="Arial"/>
                <w:sz w:val="16"/>
                <w:szCs w:val="16"/>
              </w:rPr>
              <w:t xml:space="preserve">★★★★☆</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7"/>
                <w:szCs w:val="17"/>
              </w:rPr>
              <w:t xml:space="preserve">ScienceDirect MTL-CSDNN
(unnamed authors)
(2024)</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7"/>
                <w:szCs w:val="17"/>
              </w:rPr>
              <w:t xml:space="preserve">Real-world elderly survey, Shenzhen; 482,145 patients; 15 chronic diseases; elderly only (65+)</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7"/>
                <w:szCs w:val="17"/>
              </w:rPr>
              <w:t xml:space="preserve">MTL + cost-sensitive DNN; adaptive low-rank AUC optimisation; shared lower layers; compared vs LR, XGBoost, CatBoost, 1D-CNN, TabNet, SAINT</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7"/>
                <w:szCs w:val="17"/>
              </w:rPr>
              <w:t xml:space="preserve">MTL-CSDNN: ACC=0.99, PRAUC=0.97, MCC=0.98. Outperforms all 6 baselines including XGBoost. Cost-sensitive loss critical for rare disease heads. Ablation shows shared layers essential — removing them hurts performance significantly.</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7"/>
                <w:szCs w:val="17"/>
              </w:rPr>
              <w:t xml:space="preserve">Elderly cohort only. No diseases used as input features. No SHAP (uses stability analysis instead). Mortality prediction not comorbidity association. Not reproducible on public data.</w:t>
            </w:r>
          </w:p>
        </w:tc>
      </w:tr>
      <w:tr>
        <w:tc>
          <w:tcPr>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#4</w:t>
            </w:r>
          </w:p>
          <w:p>
            <w:pPr>
              <w:jc w:val="center"/>
            </w:pPr>
            <w:r>
              <w:rPr>
                <w:rFonts w:ascii="Arial" w:cs="Arial" w:eastAsia="Arial" w:hAnsi="Arial"/>
                <w:sz w:val="16"/>
                <w:szCs w:val="16"/>
              </w:rPr>
              <w:t xml:space="preserve">★★★☆☆</w:t>
            </w:r>
          </w:p>
        </w:tc>
        <w:tc>
          <w:tcPr>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color w:val="000000"/>
                <w:sz w:val="17"/>
                <w:szCs w:val="17"/>
              </w:rPr>
              <w:t xml:space="preserve">Batista et al.
Nature Sci Reports
(2020)</w:t>
            </w:r>
          </w:p>
        </w:tc>
        <w:tc>
          <w:tcPr>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val="false"/>
                <w:bCs w:val="false"/>
                <w:color w:val="000000"/>
                <w:sz w:val="17"/>
                <w:szCs w:val="17"/>
              </w:rPr>
              <w:t xml:space="preserve">NHANES 2007–2016; n=24,434; hypertension target; US adults</w:t>
            </w:r>
          </w:p>
        </w:tc>
        <w:tc>
          <w:tcPr>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val="false"/>
                <w:bCs w:val="false"/>
                <w:color w:val="000000"/>
                <w:sz w:val="17"/>
                <w:szCs w:val="17"/>
              </w:rPr>
              <w:t xml:space="preserve">Single-task ANN (shallow); demographics + BMI + smoking + kidney disease + diabetes as features; standard binary classification</w:t>
            </w:r>
          </w:p>
        </w:tc>
        <w:tc>
          <w:tcPr>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val="false"/>
                <w:bCs w:val="false"/>
                <w:color w:val="000000"/>
                <w:sz w:val="17"/>
                <w:szCs w:val="17"/>
              </w:rPr>
              <w:t xml:space="preserve">ANN: sensitivity 40%, specificity 87%, AUC 0.77. Modest performance — NN provides limited gain over logistic regression on this data. Comorbidity features (kidney disease, diabetes) included as inputs but not investigated structurally. No MTL, no SHAP.</w:t>
            </w:r>
          </w:p>
        </w:tc>
        <w:tc>
          <w:tcPr>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val="false"/>
                <w:bCs w:val="false"/>
                <w:color w:val="000000"/>
                <w:sz w:val="17"/>
                <w:szCs w:val="17"/>
              </w:rPr>
              <w:t xml:space="preserve">Single disease only. No MTL. No investigation of cross-disease structure. Small AUC (0.77) suggests NN not ideal for NHANES scale. Most directly comparable to your setup — your work would extend this to MTL.</w:t>
            </w:r>
          </w:p>
        </w:tc>
      </w:tr>
      <w:tr>
        <w:tc>
          <w:tcPr>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#5</w:t>
            </w:r>
          </w:p>
          <w:p>
            <w:pPr>
              <w:jc w:val="center"/>
            </w:pPr>
            <w:r>
              <w:rPr>
                <w:rFonts w:ascii="Arial" w:cs="Arial" w:eastAsia="Arial" w:hAnsi="Arial"/>
                <w:sz w:val="16"/>
                <w:szCs w:val="16"/>
              </w:rPr>
              <w:t xml:space="preserve">★★★☆☆</w:t>
            </w:r>
          </w:p>
        </w:tc>
        <w:tc>
          <w:tcPr>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color w:val="000000"/>
                <w:sz w:val="17"/>
                <w:szCs w:val="17"/>
              </w:rPr>
              <w:t xml:space="preserve">Elmahgoub et al.
Frontiers AI
(2023)</w:t>
            </w:r>
          </w:p>
        </w:tc>
        <w:tc>
          <w:tcPr>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val="false"/>
                <w:bCs w:val="false"/>
                <w:color w:val="000000"/>
                <w:sz w:val="17"/>
                <w:szCs w:val="17"/>
              </w:rPr>
              <w:t xml:space="preserve">EHR, ~50M US patients; SNOMED CT codes; single disease per model</w:t>
            </w:r>
          </w:p>
        </w:tc>
        <w:tc>
          <w:tcPr>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val="false"/>
                <w:bCs w:val="false"/>
                <w:color w:val="000000"/>
                <w:sz w:val="17"/>
                <w:szCs w:val="17"/>
              </w:rPr>
              <w:t xml:space="preserve">Word2Vec embeddings on SNOMED codes + DL encoder; SHAP applied to embedded features for interpretability; identifies novel predictors</w:t>
            </w:r>
          </w:p>
        </w:tc>
        <w:tc>
          <w:tcPr>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val="false"/>
                <w:bCs w:val="false"/>
                <w:color w:val="000000"/>
                <w:sz w:val="17"/>
                <w:szCs w:val="17"/>
              </w:rPr>
              <w:t xml:space="preserve">SHAP reveals non-obvious predictors (e.g. chest X-ray procedures predict COPD; fall risk assessment proxies for age/frailty in MI prediction). SHAP on embeddings is feasible and clinically meaningful. Warns that SHAP cannot infer causation, only feature contribution.</w:t>
            </w:r>
          </w:p>
        </w:tc>
        <w:tc>
          <w:tcPr>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val="false"/>
                <w:bCs w:val="false"/>
                <w:color w:val="000000"/>
                <w:sz w:val="17"/>
                <w:szCs w:val="17"/>
              </w:rPr>
              <w:t xml:space="preserve">Single-task per model. No MTL — separate model per disease. SHAP applied to individual models, not shared trunk. Longitudinal EHR, not cross-sectional survey. Closest to your SHAP ambition but no joint learning.</w:t>
            </w:r>
          </w:p>
        </w:tc>
      </w:tr>
      <w:tr>
        <w:tc>
          <w:tcPr>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#6</w:t>
            </w:r>
          </w:p>
          <w:p>
            <w:pPr>
              <w:jc w:val="center"/>
            </w:pPr>
            <w:r>
              <w:rPr>
                <w:rFonts w:ascii="Arial" w:cs="Arial" w:eastAsia="Arial" w:hAnsi="Arial"/>
                <w:sz w:val="16"/>
                <w:szCs w:val="16"/>
              </w:rPr>
              <w:t xml:space="preserve">★★★☆☆</w:t>
            </w:r>
          </w:p>
        </w:tc>
        <w:tc>
          <w:tcPr>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color w:val="000000"/>
                <w:sz w:val="17"/>
                <w:szCs w:val="17"/>
              </w:rPr>
              <w:t xml:space="preserve">Lu &amp; Uddin
Health Inf Sci Sys
(2023)</w:t>
            </w:r>
          </w:p>
        </w:tc>
        <w:tc>
          <w:tcPr>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val="false"/>
                <w:bCs w:val="false"/>
                <w:color w:val="000000"/>
                <w:sz w:val="17"/>
                <w:szCs w:val="17"/>
              </w:rPr>
              <w:t xml:space="preserve">Admin claims data; patient-disease bipartite graph; chronic disease pairs</w:t>
            </w:r>
          </w:p>
        </w:tc>
        <w:tc>
          <w:tcPr>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val="false"/>
                <w:bCs w:val="false"/>
                <w:color w:val="000000"/>
                <w:sz w:val="17"/>
                <w:szCs w:val="17"/>
              </w:rPr>
              <w:t xml:space="preserve">Graph embedding (node2vec random walks) on patient-disease graph; link prediction to infer latent comorbidity; similarity-based comorbidity scoring</w:t>
            </w:r>
          </w:p>
        </w:tc>
        <w:tc>
          <w:tcPr>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val="false"/>
                <w:bCs w:val="false"/>
                <w:color w:val="000000"/>
                <w:sz w:val="17"/>
                <w:szCs w:val="17"/>
              </w:rPr>
              <w:t xml:space="preserve">Graph embeddings outperform association rules and collaborative filtering for comorbidity prediction. Latent structure in disease co-occurrence captures clinically meaningful pairs. Embedding geometry reflects known clinical relationships. Scalable but requires graph construction.</w:t>
            </w:r>
          </w:p>
        </w:tc>
        <w:tc>
          <w:tcPr>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val="false"/>
                <w:bCs w:val="false"/>
                <w:color w:val="000000"/>
                <w:sz w:val="17"/>
                <w:szCs w:val="17"/>
              </w:rPr>
              <w:t xml:space="preserve">Requires graph/network structure — not applicable to flat survey data. No demographics as features. No neural network classification. No MTL. Structural approach incompatible with NHANES-style binary flags.</w:t>
            </w:r>
          </w:p>
        </w:tc>
      </w:tr>
      <w:tr>
        <w:tc>
          <w:tcPr>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#7</w:t>
            </w:r>
          </w:p>
          <w:p>
            <w:pPr>
              <w:jc w:val="center"/>
            </w:pPr>
            <w:r>
              <w:rPr>
                <w:rFonts w:ascii="Arial" w:cs="Arial" w:eastAsia="Arial" w:hAnsi="Arial"/>
                <w:sz w:val="16"/>
                <w:szCs w:val="16"/>
              </w:rPr>
              <w:t xml:space="preserve">★★☆☆☆</w:t>
            </w:r>
          </w:p>
        </w:tc>
        <w:tc>
          <w:tcPr>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color w:val="000000"/>
                <w:sz w:val="17"/>
                <w:szCs w:val="17"/>
              </w:rPr>
              <w:t xml:space="preserve">Sun et al.
Nature Sci Reports
(2021)</w:t>
            </w:r>
          </w:p>
        </w:tc>
        <w:tc>
          <w:tcPr>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000000"/>
                <w:sz w:val="17"/>
                <w:szCs w:val="17"/>
              </w:rPr>
              <w:t xml:space="preserve">Admin claims; cardiovascular disease + COPD; patient similarity network</w:t>
            </w:r>
          </w:p>
        </w:tc>
        <w:tc>
          <w:tcPr>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000000"/>
                <w:sz w:val="17"/>
                <w:szCs w:val="17"/>
              </w:rPr>
              <w:t xml:space="preserve">GNN on weighted patient network (WPN); patient nodes, disease edges weighted by shared risk factors; node classification for disease risk</w:t>
            </w:r>
          </w:p>
        </w:tc>
        <w:tc>
          <w:tcPr>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000000"/>
                <w:sz w:val="17"/>
                <w:szCs w:val="17"/>
              </w:rPr>
              <w:t xml:space="preserve">GNN outperforms LR and RF using network-derived features. Patient similarity network captures latent comorbidity structure. GNN avoids need to recalculate features when new data added. No interpretability reported.</w:t>
            </w:r>
          </w:p>
        </w:tc>
        <w:tc>
          <w:tcPr>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000000"/>
                <w:sz w:val="17"/>
                <w:szCs w:val="17"/>
              </w:rPr>
              <w:t xml:space="preserve">Requires patient network construction — impossible from cross-sectional survey. No demographics as primary features. No temporal or longitudinal context. No SHAP or interpretability.</w:t>
            </w:r>
          </w:p>
        </w:tc>
      </w:tr>
      <w:tr>
        <w:tc>
          <w:tcPr>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#8</w:t>
            </w:r>
          </w:p>
          <w:p>
            <w:pPr>
              <w:jc w:val="center"/>
            </w:pPr>
            <w:r>
              <w:rPr>
                <w:rFonts w:ascii="Arial" w:cs="Arial" w:eastAsia="Arial" w:hAnsi="Arial"/>
                <w:sz w:val="16"/>
                <w:szCs w:val="16"/>
              </w:rPr>
              <w:t xml:space="preserve">★★☆☆☆</w:t>
            </w:r>
          </w:p>
        </w:tc>
        <w:tc>
          <w:tcPr>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color w:val="000000"/>
                <w:sz w:val="17"/>
                <w:szCs w:val="17"/>
              </w:rPr>
              <w:t xml:space="preserve">Multimorbidity Trajectories
Nature Sci Reports
(2025)</w:t>
            </w:r>
          </w:p>
        </w:tc>
        <w:tc>
          <w:tcPr>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000000"/>
                <w:sz w:val="17"/>
                <w:szCs w:val="17"/>
              </w:rPr>
              <w:t xml:space="preserve">CHARLS longitudinal survey, China; n=12,198; 45+ years old</w:t>
            </w:r>
          </w:p>
        </w:tc>
        <w:tc>
          <w:tcPr>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000000"/>
                <w:sz w:val="17"/>
                <w:szCs w:val="17"/>
              </w:rPr>
              <w:t xml:space="preserve">Time-series clustering (4 trajectory groups) then RF/XGBoost to predict trajectory membership; SHAP on tree models for feature importance</w:t>
            </w:r>
          </w:p>
        </w:tc>
        <w:tc>
          <w:tcPr>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000000"/>
                <w:sz w:val="17"/>
                <w:szCs w:val="17"/>
              </w:rPr>
              <w:t xml:space="preserve">4 trajectories identified: Stable Low-Risk (45%), Progressively Worsening (14%), Moderate Stability (32%), High-Risk (9%). SHAP highlights age, income, physical activity as key drivers. RF/XGBoost adequate — no NN needed for tabular survey data. Trajectory framing more clinically actionable than point-in-time.</w:t>
            </w:r>
          </w:p>
        </w:tc>
        <w:tc>
          <w:tcPr>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000000"/>
                <w:sz w:val="17"/>
                <w:szCs w:val="17"/>
              </w:rPr>
              <w:t xml:space="preserve">Longitudinal framing — requires repeat observations. No MTL neural network. SHAP on RF not on shared NN trunk. Predicts trajectory class not individual disease probability. Does not use diseases as features to predict other diseases.</w:t>
            </w:r>
          </w:p>
        </w:tc>
      </w:tr>
    </w:tbl>
    <w:p>
      <w:r>
        <w:t xml:space="preserve"/>
      </w:r>
    </w:p>
    <w:p>
      <w:pPr>
        <w:pStyle w:val="Heading2"/>
      </w:pPr>
      <w:r>
        <w:t xml:space="preserve">Your Novelty Gap Summary</w:t>
      </w:r>
    </w:p>
    <w:p>
      <w:r>
        <w:rPr>
          <w:rFonts w:ascii="Arial" w:cs="Arial" w:eastAsia="Arial" w:hAnsi="Arial"/>
          <w:sz w:val="18"/>
          <w:szCs w:val="18"/>
        </w:rPr>
        <w:t xml:space="preserve">No existing paper combines: (1) MTL on cross-sectional survey data, (2) binary disease flags as explicit input features to predict other diseases, and (3) SHAP applied to a shared neural trunk. Papers #1-3 are closest methodologically but require longitudinal EHR. Paper #4 is the only NHANES NN paper but is single-task. Your work sits in the intersection of these gaps.</w:t>
      </w:r>
    </w:p>
    <w:sectPr>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2026-03-06T19:10:11.917Z</dcterms:created>
  <dcterms:modified xsi:type="dcterms:W3CDTF">2026-03-06T19:10:11.918Z</dcterms:modified>
</cp:coreProperties>
</file>

<file path=docProps/custom.xml><?xml version="1.0" encoding="utf-8"?>
<Properties xmlns="http://schemas.openxmlformats.org/officeDocument/2006/custom-properties" xmlns:vt="http://schemas.openxmlformats.org/officeDocument/2006/docPropsVTypes"/>
</file>