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Скачали файл tomcat настроили конфигурацию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tomcat - контейнер сервлетов, после запуска все сервлеты будут загружены в томкат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Spring это делал за нас.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 - путь к нашим сервлетам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pom.xml добавляем зависимости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далее в контроллере нужно переопределить класс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HttpServlet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это основной класс для доступа к нашему приложению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переопределим метод (doGet, doPost, doPut, doDelete, и тп)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 же не забываем прибить аннотацию WebServlet к нашему классу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у данных методов есть 2 входных интерфейса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req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HttpServletResponse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resp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которые расширяют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ServletRequest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интерфейс для предоставления информации запроса для сервлетов HTTP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HttpServletRequest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с помощью него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обрабатываем входящий запрос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 передаем данные в сервис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обработка запроса таких как @RequestBody @RequestParam происходит через методы, на картинке ниже в doPost аналог @RequestBody,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doDelete - @RequestParam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HttpServletResponse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с помощью данного интерфейса создаем ответ от сервиса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 же можем использовать аннотации @POST @GET и тд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 же необходимо настроить доступ к базе данных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настраиваем все в ручную через соответствующие объекты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412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 примере insert создаем экземпляр класса Connection передаем путь юзера и пароль, далее пишем запрос, передаем его в экземпляр класса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PreparedStatement.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