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BC52" w14:textId="0A283725" w:rsidR="00CB2968" w:rsidRPr="00481C09" w:rsidRDefault="00FA52CE">
      <w:pPr>
        <w:rPr>
          <w:rFonts w:ascii="Rockwell" w:hAnsi="Rockwell"/>
          <w:b/>
          <w:bCs/>
          <w:sz w:val="28"/>
          <w:szCs w:val="28"/>
        </w:rPr>
      </w:pPr>
      <w:r w:rsidRPr="00481C09">
        <w:rPr>
          <w:rFonts w:ascii="Rockwell" w:hAnsi="Rockwell"/>
          <w:b/>
          <w:bCs/>
          <w:sz w:val="28"/>
          <w:szCs w:val="28"/>
        </w:rPr>
        <w:t>Northern California Food Desert Analysis</w:t>
      </w:r>
    </w:p>
    <w:p w14:paraId="59B5C71B" w14:textId="77777777" w:rsidR="00637DEF" w:rsidRPr="00481C09" w:rsidRDefault="00637DEF">
      <w:pPr>
        <w:rPr>
          <w:rFonts w:ascii="Rockwell" w:hAnsi="Rockwell"/>
          <w:sz w:val="28"/>
          <w:szCs w:val="28"/>
        </w:rPr>
      </w:pPr>
    </w:p>
    <w:p w14:paraId="0ED42304" w14:textId="419EA79A" w:rsidR="00637DEF" w:rsidRPr="00481C09" w:rsidRDefault="00637DEF" w:rsidP="00183674">
      <w:pPr>
        <w:jc w:val="right"/>
        <w:rPr>
          <w:rFonts w:ascii="Rockwell" w:hAnsi="Rockwell"/>
          <w:sz w:val="20"/>
          <w:szCs w:val="20"/>
        </w:rPr>
      </w:pPr>
      <w:r w:rsidRPr="00481C09">
        <w:rPr>
          <w:rFonts w:ascii="Rockwell" w:hAnsi="Rockwell"/>
          <w:sz w:val="20"/>
          <w:szCs w:val="20"/>
        </w:rPr>
        <w:t>Payson Cushman</w:t>
      </w:r>
    </w:p>
    <w:p w14:paraId="00D90DC9" w14:textId="3EF44476" w:rsidR="00D06B30" w:rsidRPr="00481C09" w:rsidRDefault="00D06B30" w:rsidP="00183674">
      <w:pPr>
        <w:jc w:val="right"/>
        <w:rPr>
          <w:rFonts w:ascii="Rockwell" w:hAnsi="Rockwell"/>
          <w:sz w:val="20"/>
          <w:szCs w:val="20"/>
        </w:rPr>
      </w:pPr>
      <w:proofErr w:type="spellStart"/>
      <w:r w:rsidRPr="00481C09">
        <w:rPr>
          <w:rFonts w:ascii="Rockwell" w:hAnsi="Rockwell"/>
          <w:sz w:val="20"/>
          <w:szCs w:val="20"/>
        </w:rPr>
        <w:t>Vandrea</w:t>
      </w:r>
      <w:proofErr w:type="spellEnd"/>
      <w:r w:rsidRPr="00481C09">
        <w:rPr>
          <w:rFonts w:ascii="Rockwell" w:hAnsi="Rockwell"/>
          <w:sz w:val="20"/>
          <w:szCs w:val="20"/>
        </w:rPr>
        <w:t xml:space="preserve"> Foronda </w:t>
      </w:r>
    </w:p>
    <w:p w14:paraId="7F8B2C9D" w14:textId="0DAF0125" w:rsidR="00D06B30" w:rsidRPr="00481C09" w:rsidRDefault="00D06B30" w:rsidP="00183674">
      <w:pPr>
        <w:jc w:val="right"/>
        <w:rPr>
          <w:rFonts w:ascii="Rockwell" w:hAnsi="Rockwell"/>
          <w:sz w:val="20"/>
          <w:szCs w:val="20"/>
        </w:rPr>
      </w:pPr>
      <w:r w:rsidRPr="00481C09">
        <w:rPr>
          <w:rFonts w:ascii="Rockwell" w:hAnsi="Rockwell"/>
          <w:sz w:val="20"/>
          <w:szCs w:val="20"/>
        </w:rPr>
        <w:t xml:space="preserve">Mina </w:t>
      </w:r>
      <w:proofErr w:type="spellStart"/>
      <w:r w:rsidRPr="00481C09">
        <w:rPr>
          <w:rFonts w:ascii="Rockwell" w:hAnsi="Rockwell"/>
          <w:sz w:val="20"/>
          <w:szCs w:val="20"/>
        </w:rPr>
        <w:t>Kemmer</w:t>
      </w:r>
      <w:proofErr w:type="spellEnd"/>
      <w:r w:rsidRPr="00481C09">
        <w:rPr>
          <w:rFonts w:ascii="Rockwell" w:hAnsi="Rockwell"/>
          <w:sz w:val="20"/>
          <w:szCs w:val="20"/>
        </w:rPr>
        <w:t>-Lee </w:t>
      </w:r>
    </w:p>
    <w:p w14:paraId="59F6353F" w14:textId="77777777" w:rsidR="00FA52CE" w:rsidRPr="00481C09" w:rsidRDefault="00FA52CE">
      <w:pPr>
        <w:rPr>
          <w:rFonts w:ascii="Rockwell" w:hAnsi="Rockwell"/>
        </w:rPr>
      </w:pPr>
    </w:p>
    <w:p w14:paraId="44E5A6AA" w14:textId="77777777" w:rsidR="00E72263" w:rsidRPr="00481C09" w:rsidRDefault="00E72263">
      <w:pPr>
        <w:rPr>
          <w:rFonts w:ascii="Rockwell" w:hAnsi="Rockwell" w:cs="Calibri (Body)"/>
        </w:rPr>
      </w:pPr>
    </w:p>
    <w:p w14:paraId="09F3D013" w14:textId="685CA2FD" w:rsidR="00FA52CE" w:rsidRPr="00481C09" w:rsidRDefault="00BE7137">
      <w:pPr>
        <w:rPr>
          <w:rFonts w:ascii="Rockwell" w:hAnsi="Rockwell" w:cstheme="minorHAnsi"/>
          <w:sz w:val="28"/>
          <w:szCs w:val="28"/>
        </w:rPr>
      </w:pPr>
      <w:r w:rsidRPr="00481C09">
        <w:rPr>
          <w:rFonts w:ascii="Rockwell" w:hAnsi="Rockwell" w:cstheme="minorHAnsi"/>
          <w:sz w:val="28"/>
          <w:szCs w:val="28"/>
        </w:rPr>
        <w:t>Summary:</w:t>
      </w:r>
    </w:p>
    <w:p w14:paraId="091EF9CA" w14:textId="77777777" w:rsidR="00AD088C" w:rsidRPr="00481C09" w:rsidRDefault="00AD088C">
      <w:pPr>
        <w:rPr>
          <w:rFonts w:ascii="Rockwell" w:hAnsi="Rockwell" w:cstheme="minorHAnsi"/>
          <w:color w:val="231F20"/>
        </w:rPr>
      </w:pPr>
    </w:p>
    <w:p w14:paraId="56AAAB07" w14:textId="1E9C91A6" w:rsidR="00FA52CE" w:rsidRPr="00510C50" w:rsidRDefault="00FA52CE" w:rsidP="00510C50">
      <w:pPr>
        <w:rPr>
          <w:rFonts w:ascii="Rockwell" w:eastAsia="Times New Roman" w:hAnsi="Rockwell" w:cs="Arial"/>
          <w:color w:val="1D1C1D"/>
          <w:kern w:val="0"/>
          <w:sz w:val="23"/>
          <w:szCs w:val="23"/>
          <w14:ligatures w14:val="none"/>
        </w:rPr>
      </w:pPr>
      <w:r w:rsidRPr="00510C50">
        <w:rPr>
          <w:rFonts w:ascii="Rockwell" w:hAnsi="Rockwell"/>
        </w:rPr>
        <w:t xml:space="preserve">Food deserts are regions where people have limited access to healthful and affordable food. This may be due to having a low income or having to travel farther to find healthful food options. </w:t>
      </w:r>
      <w:r w:rsidRPr="00510C50">
        <w:rPr>
          <w:rFonts w:ascii="Rockwell" w:hAnsi="Rockwell"/>
          <w:color w:val="000000"/>
          <w:shd w:val="clear" w:color="auto" w:fill="FFFFFF"/>
        </w:rPr>
        <w:t>The</w:t>
      </w:r>
      <w:r w:rsidR="00510C50">
        <w:rPr>
          <w:rFonts w:ascii="Rockwell" w:hAnsi="Rockwell"/>
          <w:color w:val="000000"/>
          <w:shd w:val="clear" w:color="auto" w:fill="FFFFFF"/>
        </w:rPr>
        <w:t xml:space="preserve"> USDA formed the</w:t>
      </w:r>
      <w:r w:rsidRPr="00510C50">
        <w:rPr>
          <w:rFonts w:ascii="Rockwell" w:hAnsi="Rockwell"/>
          <w:color w:val="000000"/>
          <w:shd w:val="clear" w:color="auto" w:fill="FFFFFF"/>
        </w:rPr>
        <w:t xml:space="preserve"> Food Access Research Atlas, which we used for our analysis, ‘maps food access indicators for census tracts using ½-mile and 1-mile demarcations to the nearest supermarket for urban areas, 10-mile and 20-mile demarcations to the nearest supermarket for rural areas, and vehicle availability for all tracts.’</w:t>
      </w:r>
      <w:r w:rsidRPr="00510C50">
        <w:rPr>
          <w:rStyle w:val="FootnoteReference"/>
          <w:rFonts w:ascii="Rockwell" w:hAnsi="Rockwell" w:cstheme="minorHAnsi"/>
          <w:shd w:val="clear" w:color="auto" w:fill="FFFFFF"/>
        </w:rPr>
        <w:footnoteReference w:id="1"/>
      </w:r>
      <w:r w:rsidRPr="00510C50">
        <w:rPr>
          <w:rFonts w:ascii="Rockwell" w:hAnsi="Rockwell"/>
          <w:shd w:val="clear" w:color="auto" w:fill="FFFFFF"/>
        </w:rPr>
        <w:t> </w:t>
      </w:r>
      <w:r w:rsidR="00510C50">
        <w:rPr>
          <w:rFonts w:ascii="Rockwell" w:eastAsia="Times New Roman" w:hAnsi="Rockwell" w:cs="Arial"/>
          <w:kern w:val="0"/>
          <w14:ligatures w14:val="none"/>
        </w:rPr>
        <w:t>The USDA</w:t>
      </w:r>
      <w:r w:rsidR="00510C50" w:rsidRPr="00510C50">
        <w:rPr>
          <w:rFonts w:ascii="Rockwell" w:eastAsia="Times New Roman" w:hAnsi="Rockwell" w:cs="Arial"/>
          <w:kern w:val="0"/>
          <w14:ligatures w14:val="none"/>
        </w:rPr>
        <w:t xml:space="preserve"> use</w:t>
      </w:r>
      <w:r w:rsidR="00510C50">
        <w:rPr>
          <w:rFonts w:ascii="Rockwell" w:eastAsia="Times New Roman" w:hAnsi="Rockwell" w:cs="Arial"/>
          <w:kern w:val="0"/>
          <w14:ligatures w14:val="none"/>
        </w:rPr>
        <w:t>s</w:t>
      </w:r>
      <w:r w:rsidR="00510C50" w:rsidRPr="00510C50">
        <w:rPr>
          <w:rFonts w:ascii="Rockwell" w:eastAsia="Times New Roman" w:hAnsi="Rockwell" w:cs="Arial"/>
          <w:kern w:val="0"/>
          <w14:ligatures w14:val="none"/>
        </w:rPr>
        <w:t xml:space="preserve"> </w:t>
      </w:r>
      <w:r w:rsidR="00510C50" w:rsidRPr="00510C50">
        <w:rPr>
          <w:rFonts w:ascii="Rockwell" w:eastAsia="Times New Roman" w:hAnsi="Rockwell" w:cs="Arial"/>
          <w:kern w:val="0"/>
          <w14:ligatures w14:val="none"/>
        </w:rPr>
        <w:t>a</w:t>
      </w:r>
      <w:r w:rsidR="00510C50" w:rsidRPr="00510C50">
        <w:rPr>
          <w:rFonts w:ascii="Rockwell" w:eastAsia="Times New Roman" w:hAnsi="Rockwell" w:cs="Arial"/>
          <w:kern w:val="0"/>
          <w14:ligatures w14:val="none"/>
        </w:rPr>
        <w:t>ccessibility to sources of healthy food, as measured by distance to a store or by the number of stores in an area</w:t>
      </w:r>
      <w:r w:rsidR="00510C50" w:rsidRPr="00510C50">
        <w:rPr>
          <w:rFonts w:ascii="Rockwell" w:eastAsia="Times New Roman" w:hAnsi="Rockwell" w:cs="Arial"/>
          <w:kern w:val="0"/>
          <w14:ligatures w14:val="none"/>
        </w:rPr>
        <w:t>, i</w:t>
      </w:r>
      <w:r w:rsidR="00510C50" w:rsidRPr="00510C50">
        <w:rPr>
          <w:rFonts w:ascii="Rockwell" w:eastAsia="Times New Roman" w:hAnsi="Rockwell" w:cs="Arial"/>
          <w:kern w:val="0"/>
          <w14:ligatures w14:val="none"/>
        </w:rPr>
        <w:t>ndividual-level resources that may affect accessibility, such as family income or vehicle availability</w:t>
      </w:r>
      <w:r w:rsidR="00510C50" w:rsidRPr="00510C50">
        <w:rPr>
          <w:rFonts w:ascii="Rockwell" w:eastAsia="Times New Roman" w:hAnsi="Rockwell" w:cs="Arial"/>
          <w:kern w:val="0"/>
          <w14:ligatures w14:val="none"/>
        </w:rPr>
        <w:t>,</w:t>
      </w:r>
      <w:r w:rsidR="00510C50" w:rsidRPr="00510C50">
        <w:rPr>
          <w:rFonts w:ascii="Rockwell" w:eastAsia="Times New Roman" w:hAnsi="Rockwell" w:cs="Arial"/>
          <w:kern w:val="0"/>
          <w14:ligatures w14:val="none"/>
        </w:rPr>
        <w:t xml:space="preserve"> and</w:t>
      </w:r>
      <w:r w:rsidR="00510C50" w:rsidRPr="00510C50">
        <w:rPr>
          <w:rFonts w:ascii="Rockwell" w:eastAsia="Times New Roman" w:hAnsi="Rockwell" w:cs="Arial"/>
          <w:kern w:val="0"/>
          <w14:ligatures w14:val="none"/>
        </w:rPr>
        <w:t xml:space="preserve"> n</w:t>
      </w:r>
      <w:r w:rsidR="00510C50" w:rsidRPr="00510C50">
        <w:rPr>
          <w:rFonts w:ascii="Rockwell" w:eastAsia="Times New Roman" w:hAnsi="Rockwell" w:cs="Arial"/>
          <w:kern w:val="0"/>
          <w14:ligatures w14:val="none"/>
        </w:rPr>
        <w:t>eighborhood-level indicators of resources, such as the average income of the neighborhood and the availability of public transportation</w:t>
      </w:r>
      <w:r w:rsidR="00510C50" w:rsidRPr="00510C50">
        <w:rPr>
          <w:rFonts w:ascii="Rockwell" w:eastAsia="Times New Roman" w:hAnsi="Rockwell" w:cs="Arial"/>
          <w:kern w:val="0"/>
          <w14:ligatures w14:val="none"/>
        </w:rPr>
        <w:t xml:space="preserve"> to define access levels</w:t>
      </w:r>
      <w:r w:rsidR="00510C50" w:rsidRPr="00510C50">
        <w:rPr>
          <w:rFonts w:ascii="Rockwell" w:eastAsia="Times New Roman" w:hAnsi="Rockwell" w:cs="Arial"/>
          <w:kern w:val="0"/>
          <w14:ligatures w14:val="none"/>
        </w:rPr>
        <w:t>.</w:t>
      </w:r>
      <w:r w:rsidR="00510C50" w:rsidRPr="00510C50">
        <w:rPr>
          <w:rFonts w:ascii="Rockwell" w:eastAsia="Times New Roman" w:hAnsi="Rockwell" w:cs="Arial"/>
          <w:kern w:val="0"/>
          <w14:ligatures w14:val="none"/>
        </w:rPr>
        <w:t xml:space="preserve"> </w:t>
      </w:r>
      <w:r w:rsidRPr="00510C50">
        <w:rPr>
          <w:rFonts w:ascii="Rockwell" w:hAnsi="Rockwell"/>
        </w:rPr>
        <w:t xml:space="preserve">In this report, we examine the socioeconomic and demographic characteristics of these tracts to see how they differ from </w:t>
      </w:r>
      <w:r w:rsidR="00BE7137" w:rsidRPr="00510C50">
        <w:rPr>
          <w:rFonts w:ascii="Rockwell" w:hAnsi="Rockwell"/>
        </w:rPr>
        <w:t>county to county in Northern California</w:t>
      </w:r>
      <w:r w:rsidRPr="00510C50">
        <w:rPr>
          <w:rFonts w:ascii="Rockwell" w:hAnsi="Rockwell"/>
        </w:rPr>
        <w:t>.</w:t>
      </w:r>
    </w:p>
    <w:p w14:paraId="025B905C" w14:textId="77777777" w:rsidR="00BE7137" w:rsidRPr="00510C50" w:rsidRDefault="00BE7137" w:rsidP="00510C50">
      <w:pPr>
        <w:rPr>
          <w:rFonts w:ascii="Rockwell" w:hAnsi="Rockwell"/>
        </w:rPr>
      </w:pPr>
    </w:p>
    <w:p w14:paraId="288F619D" w14:textId="77777777" w:rsidR="00E72263" w:rsidRPr="00510C50" w:rsidRDefault="00E72263" w:rsidP="00510C50">
      <w:pPr>
        <w:rPr>
          <w:rFonts w:ascii="Rockwell" w:hAnsi="Rockwell"/>
        </w:rPr>
      </w:pPr>
    </w:p>
    <w:p w14:paraId="398D298F" w14:textId="3937B108" w:rsidR="00BE7137" w:rsidRPr="00510C50" w:rsidRDefault="00BE7137" w:rsidP="00510C50">
      <w:pPr>
        <w:rPr>
          <w:rFonts w:ascii="Rockwell" w:hAnsi="Rockwell"/>
        </w:rPr>
      </w:pPr>
      <w:r w:rsidRPr="00510C50">
        <w:rPr>
          <w:rFonts w:ascii="Rockwell" w:hAnsi="Rockwell"/>
        </w:rPr>
        <w:t>In our analysis</w:t>
      </w:r>
      <w:r w:rsidR="00FA52CE" w:rsidRPr="00510C50">
        <w:rPr>
          <w:rFonts w:ascii="Rockwell" w:hAnsi="Rockwell"/>
        </w:rPr>
        <w:t xml:space="preserve">, </w:t>
      </w:r>
      <w:r w:rsidR="00387ECF" w:rsidRPr="00510C50">
        <w:rPr>
          <w:rFonts w:ascii="Rockwell" w:hAnsi="Rockwell"/>
        </w:rPr>
        <w:t xml:space="preserve">high </w:t>
      </w:r>
      <w:r w:rsidR="00FA52CE" w:rsidRPr="00510C50">
        <w:rPr>
          <w:rFonts w:ascii="Rockwell" w:hAnsi="Rockwell"/>
        </w:rPr>
        <w:t>food desert</w:t>
      </w:r>
      <w:r w:rsidR="00387ECF" w:rsidRPr="00510C50">
        <w:rPr>
          <w:rFonts w:ascii="Rockwell" w:hAnsi="Rockwell"/>
        </w:rPr>
        <w:t xml:space="preserve"> scores </w:t>
      </w:r>
      <w:r w:rsidRPr="00510C50">
        <w:rPr>
          <w:rFonts w:ascii="Rockwell" w:hAnsi="Rockwell"/>
        </w:rPr>
        <w:t>in Northern California</w:t>
      </w:r>
      <w:r w:rsidR="00FA52CE" w:rsidRPr="00510C50">
        <w:rPr>
          <w:rFonts w:ascii="Rockwell" w:hAnsi="Rockwell"/>
        </w:rPr>
        <w:t xml:space="preserve"> tend to</w:t>
      </w:r>
      <w:r w:rsidRPr="00510C50">
        <w:rPr>
          <w:rFonts w:ascii="Rockwell" w:hAnsi="Rockwell"/>
        </w:rPr>
        <w:t xml:space="preserve"> come from counties</w:t>
      </w:r>
      <w:r w:rsidR="00FA52CE" w:rsidRPr="00510C50">
        <w:rPr>
          <w:rFonts w:ascii="Rockwell" w:hAnsi="Rockwell"/>
        </w:rPr>
        <w:t xml:space="preserve"> </w:t>
      </w:r>
      <w:r w:rsidRPr="00510C50">
        <w:rPr>
          <w:rFonts w:ascii="Rockwell" w:hAnsi="Rockwell"/>
        </w:rPr>
        <w:t>with</w:t>
      </w:r>
      <w:r w:rsidR="00FA52CE" w:rsidRPr="00510C50">
        <w:rPr>
          <w:rFonts w:ascii="Rockwell" w:hAnsi="Rockwell"/>
        </w:rPr>
        <w:t xml:space="preserve"> smaller populations,</w:t>
      </w:r>
      <w:r w:rsidRPr="00510C50">
        <w:rPr>
          <w:rFonts w:ascii="Rockwell" w:hAnsi="Rockwell"/>
        </w:rPr>
        <w:t xml:space="preserve"> are more rural, from counties with population loss, and</w:t>
      </w:r>
      <w:r w:rsidR="00FA52CE" w:rsidRPr="00510C50">
        <w:rPr>
          <w:rFonts w:ascii="Rockwell" w:hAnsi="Rockwell"/>
        </w:rPr>
        <w:t xml:space="preserve"> lower incomes</w:t>
      </w:r>
      <w:r w:rsidRPr="00510C50">
        <w:rPr>
          <w:rFonts w:ascii="Rockwell" w:hAnsi="Rockwell"/>
        </w:rPr>
        <w:t>.</w:t>
      </w:r>
    </w:p>
    <w:p w14:paraId="7DF7E408" w14:textId="77777777" w:rsidR="00BE7137" w:rsidRPr="00510C50" w:rsidRDefault="00BE7137" w:rsidP="00510C50">
      <w:pPr>
        <w:rPr>
          <w:rFonts w:ascii="Rockwell" w:hAnsi="Rockwell"/>
        </w:rPr>
      </w:pPr>
    </w:p>
    <w:p w14:paraId="6F06755B" w14:textId="77777777" w:rsidR="00E72263" w:rsidRPr="00481C09" w:rsidRDefault="00E72263" w:rsidP="00510C50"/>
    <w:p w14:paraId="317511CA" w14:textId="477DBB92" w:rsidR="00637DEF" w:rsidRPr="00481C09" w:rsidRDefault="00FA52CE">
      <w:pPr>
        <w:rPr>
          <w:rFonts w:ascii="Rockwell" w:hAnsi="Rockwell" w:cstheme="minorHAnsi"/>
        </w:rPr>
      </w:pPr>
      <w:r w:rsidRPr="00481C09">
        <w:rPr>
          <w:rFonts w:ascii="Rockwell" w:hAnsi="Rockwell" w:cstheme="minorHAnsi"/>
        </w:rPr>
        <w:t>Census tracts with</w:t>
      </w:r>
      <w:r w:rsidR="003C45B5" w:rsidRPr="00481C09">
        <w:rPr>
          <w:rFonts w:ascii="Rockwell" w:hAnsi="Rockwell" w:cstheme="minorHAnsi"/>
        </w:rPr>
        <w:t xml:space="preserve"> a greater population of families with</w:t>
      </w:r>
      <w:r w:rsidRPr="00481C09">
        <w:rPr>
          <w:rFonts w:ascii="Rockwell" w:hAnsi="Rockwell" w:cstheme="minorHAnsi"/>
        </w:rPr>
        <w:t xml:space="preserve"> </w:t>
      </w:r>
      <w:r w:rsidR="003C45B5" w:rsidRPr="00481C09">
        <w:rPr>
          <w:rFonts w:ascii="Rockwell" w:hAnsi="Rockwell" w:cstheme="minorHAnsi"/>
        </w:rPr>
        <w:t>lower incomes</w:t>
      </w:r>
      <w:r w:rsidRPr="00481C09">
        <w:rPr>
          <w:rFonts w:ascii="Rockwell" w:hAnsi="Rockwell" w:cstheme="minorHAnsi"/>
        </w:rPr>
        <w:t xml:space="preserve"> are more likely to be food deserts </w:t>
      </w:r>
      <w:r w:rsidR="00282D91" w:rsidRPr="00481C09">
        <w:rPr>
          <w:rFonts w:ascii="Rockwell" w:hAnsi="Rockwell" w:cstheme="minorHAnsi"/>
        </w:rPr>
        <w:t>but, in our analysis,</w:t>
      </w:r>
      <w:r w:rsidRPr="00481C09">
        <w:rPr>
          <w:rFonts w:ascii="Rockwell" w:hAnsi="Rockwell" w:cstheme="minorHAnsi"/>
        </w:rPr>
        <w:t xml:space="preserve"> otherwise similar low-income census </w:t>
      </w:r>
      <w:r w:rsidR="00BE7137" w:rsidRPr="00481C09">
        <w:rPr>
          <w:rFonts w:ascii="Rockwell" w:hAnsi="Rockwell" w:cstheme="minorHAnsi"/>
        </w:rPr>
        <w:t>counties</w:t>
      </w:r>
      <w:r w:rsidRPr="00481C09">
        <w:rPr>
          <w:rFonts w:ascii="Rockwell" w:hAnsi="Rockwell" w:cstheme="minorHAnsi"/>
        </w:rPr>
        <w:t xml:space="preserve"> in rural </w:t>
      </w:r>
      <w:r w:rsidR="00BE7137" w:rsidRPr="00481C09">
        <w:rPr>
          <w:rFonts w:ascii="Rockwell" w:hAnsi="Rockwell" w:cstheme="minorHAnsi"/>
        </w:rPr>
        <w:t>areas had higher low access scores than counties with</w:t>
      </w:r>
      <w:r w:rsidRPr="00481C09">
        <w:rPr>
          <w:rFonts w:ascii="Rockwell" w:hAnsi="Rockwell" w:cstheme="minorHAnsi"/>
        </w:rPr>
        <w:t xml:space="preserve"> very dense </w:t>
      </w:r>
      <w:r w:rsidR="00BE7137" w:rsidRPr="00481C09">
        <w:rPr>
          <w:rFonts w:ascii="Rockwell" w:hAnsi="Rockwell" w:cstheme="minorHAnsi"/>
        </w:rPr>
        <w:t xml:space="preserve">and </w:t>
      </w:r>
      <w:r w:rsidRPr="00481C09">
        <w:rPr>
          <w:rFonts w:ascii="Rockwell" w:hAnsi="Rockwell" w:cstheme="minorHAnsi"/>
        </w:rPr>
        <w:t>highly populated</w:t>
      </w:r>
      <w:r w:rsidR="00BE7137" w:rsidRPr="00481C09">
        <w:rPr>
          <w:rFonts w:ascii="Rockwell" w:hAnsi="Rockwell" w:cstheme="minorHAnsi"/>
        </w:rPr>
        <w:t xml:space="preserve"> </w:t>
      </w:r>
      <w:r w:rsidRPr="00481C09">
        <w:rPr>
          <w:rFonts w:ascii="Rockwell" w:hAnsi="Rockwell" w:cstheme="minorHAnsi"/>
        </w:rPr>
        <w:t xml:space="preserve">urban areas. </w:t>
      </w:r>
      <w:r w:rsidR="00637DEF" w:rsidRPr="00481C09">
        <w:rPr>
          <w:rFonts w:ascii="Rockwell" w:hAnsi="Rockwell" w:cstheme="minorHAnsi"/>
        </w:rPr>
        <w:t xml:space="preserve">Further, counties with smaller populations and/or with population loss, saw on average, higher decreases of access to healthy food options. </w:t>
      </w:r>
    </w:p>
    <w:p w14:paraId="7D70DFA9" w14:textId="77777777" w:rsidR="00D06B30" w:rsidRPr="00481C09" w:rsidRDefault="00D06B30">
      <w:pPr>
        <w:rPr>
          <w:rFonts w:ascii="Rockwell" w:hAnsi="Rockwell" w:cstheme="minorHAnsi"/>
        </w:rPr>
      </w:pPr>
    </w:p>
    <w:p w14:paraId="21D0C274" w14:textId="77777777" w:rsidR="00E72263" w:rsidRPr="00481C09" w:rsidRDefault="00E72263">
      <w:pPr>
        <w:rPr>
          <w:rFonts w:ascii="Rockwell" w:hAnsi="Rockwell" w:cstheme="minorHAnsi"/>
        </w:rPr>
      </w:pPr>
    </w:p>
    <w:p w14:paraId="5BA41441" w14:textId="73FCB239" w:rsidR="00D06B30" w:rsidRPr="00481C09" w:rsidRDefault="00D06B30">
      <w:pPr>
        <w:rPr>
          <w:rFonts w:ascii="Rockwell" w:hAnsi="Rockwell" w:cstheme="minorHAnsi"/>
        </w:rPr>
      </w:pPr>
      <w:r w:rsidRPr="00481C09">
        <w:rPr>
          <w:rFonts w:ascii="Rockwell" w:hAnsi="Rockwell" w:cstheme="minorHAnsi"/>
        </w:rPr>
        <w:t xml:space="preserve">Overall, of the 25 counties on which we focused, there were only 5 counties that saw a significant </w:t>
      </w:r>
      <w:r w:rsidR="00461314">
        <w:rPr>
          <w:rFonts w:ascii="Rockwell" w:hAnsi="Rockwell" w:cstheme="minorHAnsi"/>
        </w:rPr>
        <w:t>increase</w:t>
      </w:r>
      <w:r w:rsidR="00220449" w:rsidRPr="00481C09">
        <w:rPr>
          <w:rFonts w:ascii="Rockwell" w:hAnsi="Rockwell" w:cstheme="minorHAnsi"/>
        </w:rPr>
        <w:t xml:space="preserve"> (over </w:t>
      </w:r>
      <w:r w:rsidR="00461314">
        <w:rPr>
          <w:rFonts w:ascii="Rockwell" w:hAnsi="Rockwell" w:cstheme="minorHAnsi"/>
        </w:rPr>
        <w:t>5</w:t>
      </w:r>
      <w:r w:rsidR="00220449" w:rsidRPr="00481C09">
        <w:rPr>
          <w:rFonts w:ascii="Rockwell" w:hAnsi="Rockwell" w:cstheme="minorHAnsi"/>
        </w:rPr>
        <w:t>%)</w:t>
      </w:r>
      <w:r w:rsidRPr="00481C09">
        <w:rPr>
          <w:rFonts w:ascii="Rockwell" w:hAnsi="Rockwell" w:cstheme="minorHAnsi"/>
        </w:rPr>
        <w:t xml:space="preserve"> in</w:t>
      </w:r>
      <w:r w:rsidR="00461314">
        <w:rPr>
          <w:rFonts w:ascii="Rockwell" w:hAnsi="Rockwell" w:cstheme="minorHAnsi"/>
        </w:rPr>
        <w:t xml:space="preserve"> low</w:t>
      </w:r>
      <w:r w:rsidRPr="00481C09">
        <w:rPr>
          <w:rFonts w:ascii="Rockwell" w:hAnsi="Rockwell" w:cstheme="minorHAnsi"/>
        </w:rPr>
        <w:t xml:space="preserve"> access</w:t>
      </w:r>
      <w:r w:rsidR="00B42BF5" w:rsidRPr="00481C09">
        <w:rPr>
          <w:rFonts w:ascii="Rockwell" w:hAnsi="Rockwell" w:cstheme="minorHAnsi"/>
        </w:rPr>
        <w:t>, most of them rural</w:t>
      </w:r>
      <w:r w:rsidR="00220449" w:rsidRPr="00481C09">
        <w:rPr>
          <w:rFonts w:ascii="Rockwell" w:hAnsi="Rockwell" w:cstheme="minorHAnsi"/>
        </w:rPr>
        <w:t xml:space="preserve"> or agricultural</w:t>
      </w:r>
      <w:r w:rsidRPr="00481C09">
        <w:rPr>
          <w:rFonts w:ascii="Rockwell" w:hAnsi="Rockwell" w:cstheme="minorHAnsi"/>
        </w:rPr>
        <w:t xml:space="preserve">. </w:t>
      </w:r>
    </w:p>
    <w:p w14:paraId="1449CB61" w14:textId="77777777" w:rsid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1220DFD4" w14:textId="54FD4B9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County       FIPS</w:t>
      </w:r>
    </w:p>
    <w:p w14:paraId="12377A98"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Madera       6039     5.253997</w:t>
      </w:r>
    </w:p>
    <w:p w14:paraId="7566E3FF"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Merced       6047     9.519687</w:t>
      </w:r>
    </w:p>
    <w:p w14:paraId="0745921F"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lastRenderedPageBreak/>
        <w:t xml:space="preserve">San </w:t>
      </w:r>
      <w:proofErr w:type="gramStart"/>
      <w:r w:rsidRPr="00C26680">
        <w:rPr>
          <w:rFonts w:ascii="Courier New" w:eastAsia="Times New Roman" w:hAnsi="Courier New" w:cs="Courier New"/>
          <w:color w:val="000000"/>
          <w:kern w:val="0"/>
          <w:sz w:val="21"/>
          <w:szCs w:val="21"/>
          <w14:ligatures w14:val="none"/>
        </w:rPr>
        <w:t>Joaquin  6077</w:t>
      </w:r>
      <w:proofErr w:type="gramEnd"/>
      <w:r w:rsidRPr="00C26680">
        <w:rPr>
          <w:rFonts w:ascii="Courier New" w:eastAsia="Times New Roman" w:hAnsi="Courier New" w:cs="Courier New"/>
          <w:color w:val="000000"/>
          <w:kern w:val="0"/>
          <w:sz w:val="21"/>
          <w:szCs w:val="21"/>
          <w14:ligatures w14:val="none"/>
        </w:rPr>
        <w:t xml:space="preserve">    11.167191</w:t>
      </w:r>
    </w:p>
    <w:p w14:paraId="130352B5"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Amador       6005    12.130220</w:t>
      </w:r>
    </w:p>
    <w:p w14:paraId="01889A03"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Calaveras    6009    17.169096</w:t>
      </w:r>
    </w:p>
    <w:p w14:paraId="708917AA"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Name: %change 10-15 Pop w/Low Store Access</w:t>
      </w:r>
    </w:p>
    <w:p w14:paraId="5195C90A" w14:textId="77777777" w:rsidR="00C26680" w:rsidRPr="002D732C" w:rsidRDefault="00C26680">
      <w:pPr>
        <w:rPr>
          <w:rFonts w:ascii="Bell MT" w:hAnsi="Bell MT" w:cstheme="minorHAnsi"/>
        </w:rPr>
      </w:pPr>
    </w:p>
    <w:p w14:paraId="353F8BE9" w14:textId="77777777" w:rsidR="0051494E" w:rsidRPr="002D732C" w:rsidRDefault="0051494E">
      <w:pPr>
        <w:rPr>
          <w:rFonts w:ascii="Bell MT" w:hAnsi="Bell MT"/>
        </w:rPr>
      </w:pPr>
    </w:p>
    <w:p w14:paraId="7CEA222F" w14:textId="0D625059" w:rsidR="0051494E" w:rsidRPr="00481C09" w:rsidRDefault="00000000">
      <w:pPr>
        <w:rPr>
          <w:rFonts w:ascii="Rockwell" w:hAnsi="Rockwell"/>
        </w:rPr>
      </w:pPr>
      <w:hyperlink r:id="rId7" w:history="1">
        <w:r w:rsidR="0051494E" w:rsidRPr="00481C09">
          <w:rPr>
            <w:rStyle w:val="Hyperlink"/>
            <w:rFonts w:ascii="Rockwell" w:hAnsi="Rockwell"/>
          </w:rPr>
          <w:t>Map of Deserts</w:t>
        </w:r>
      </w:hyperlink>
      <w:r w:rsidR="0051494E" w:rsidRPr="00481C09">
        <w:rPr>
          <w:rFonts w:ascii="Rockwell" w:hAnsi="Rockwell"/>
        </w:rPr>
        <w:t xml:space="preserve"> </w:t>
      </w:r>
    </w:p>
    <w:p w14:paraId="3D0D75B0" w14:textId="77777777" w:rsidR="00E72263" w:rsidRPr="00481C09" w:rsidRDefault="00E72263">
      <w:pPr>
        <w:rPr>
          <w:rFonts w:ascii="Rockwell" w:hAnsi="Rockwell"/>
        </w:rPr>
      </w:pPr>
    </w:p>
    <w:p w14:paraId="71D56C45" w14:textId="4677E6A0" w:rsidR="00220449" w:rsidRPr="00481C09" w:rsidRDefault="0000304C">
      <w:pPr>
        <w:rPr>
          <w:rFonts w:ascii="Rockwell" w:hAnsi="Rockwell"/>
        </w:rPr>
      </w:pPr>
      <w:r w:rsidRPr="00481C09">
        <w:rPr>
          <w:rFonts w:ascii="Rockwell" w:hAnsi="Rockwell"/>
        </w:rPr>
        <w:t>At the start of our analysis, w</w:t>
      </w:r>
      <w:r w:rsidR="00220449" w:rsidRPr="00481C09">
        <w:rPr>
          <w:rFonts w:ascii="Rockwell" w:hAnsi="Rockwell"/>
        </w:rPr>
        <w:t xml:space="preserve">e expected </w:t>
      </w:r>
      <w:r w:rsidRPr="00481C09">
        <w:rPr>
          <w:rFonts w:ascii="Rockwell" w:hAnsi="Rockwell"/>
        </w:rPr>
        <w:t>that</w:t>
      </w:r>
      <w:r w:rsidR="00220449" w:rsidRPr="00481C09">
        <w:rPr>
          <w:rFonts w:ascii="Rockwell" w:hAnsi="Rockwell"/>
        </w:rPr>
        <w:t xml:space="preserve"> as access decreased, fast food options would </w:t>
      </w:r>
      <w:r w:rsidRPr="00481C09">
        <w:rPr>
          <w:rFonts w:ascii="Rockwell" w:hAnsi="Rockwell"/>
        </w:rPr>
        <w:t>flourish and grocery stores to suffer</w:t>
      </w:r>
      <w:r w:rsidR="00220449" w:rsidRPr="00481C09">
        <w:rPr>
          <w:rFonts w:ascii="Rockwell" w:hAnsi="Rockwell"/>
        </w:rPr>
        <w:t xml:space="preserve">, health problems would be persistent, and that </w:t>
      </w:r>
      <w:r w:rsidRPr="00481C09">
        <w:rPr>
          <w:rFonts w:ascii="Rockwell" w:hAnsi="Rockwell"/>
        </w:rPr>
        <w:t>demographics would be one of the largest determining factors. We found the results of our analysis to be more nuanced. Negative health indicators were more determined by income than by limited ability to source healthy food.  While demographics were indeed important variables, the population’s income and geography were</w:t>
      </w:r>
      <w:r w:rsidR="00E72263" w:rsidRPr="00481C09">
        <w:rPr>
          <w:rFonts w:ascii="Rockwell" w:hAnsi="Rockwell"/>
        </w:rPr>
        <w:t xml:space="preserve"> the more</w:t>
      </w:r>
      <w:r w:rsidRPr="00481C09">
        <w:rPr>
          <w:rFonts w:ascii="Rockwell" w:hAnsi="Rockwell"/>
        </w:rPr>
        <w:t xml:space="preserve"> conspicuous determinates of a county’s low access score. </w:t>
      </w:r>
    </w:p>
    <w:p w14:paraId="6DE679F4" w14:textId="77777777" w:rsidR="00220449" w:rsidRPr="00481C09" w:rsidRDefault="00220449">
      <w:pPr>
        <w:rPr>
          <w:rFonts w:ascii="Rockwell" w:hAnsi="Rockwell"/>
          <w:sz w:val="28"/>
          <w:szCs w:val="28"/>
        </w:rPr>
      </w:pPr>
    </w:p>
    <w:p w14:paraId="110B0B19" w14:textId="23A78D5A" w:rsidR="00BE7137" w:rsidRPr="00481C09" w:rsidRDefault="00BE7137">
      <w:pPr>
        <w:rPr>
          <w:rFonts w:ascii="Rockwell" w:hAnsi="Rockwell"/>
          <w:sz w:val="28"/>
          <w:szCs w:val="28"/>
        </w:rPr>
      </w:pPr>
      <w:r w:rsidRPr="00481C09">
        <w:rPr>
          <w:rFonts w:ascii="Rockwell" w:hAnsi="Rockwell"/>
          <w:sz w:val="28"/>
          <w:szCs w:val="28"/>
        </w:rPr>
        <w:t>Limitations:</w:t>
      </w:r>
    </w:p>
    <w:p w14:paraId="23AD2377" w14:textId="77777777" w:rsidR="00BE7137" w:rsidRPr="00481C09" w:rsidRDefault="00BE7137">
      <w:pPr>
        <w:rPr>
          <w:rFonts w:ascii="Rockwell" w:hAnsi="Rockwell"/>
        </w:rPr>
      </w:pPr>
    </w:p>
    <w:p w14:paraId="720EE726" w14:textId="540FE193" w:rsidR="00BE7137" w:rsidRPr="00481C09" w:rsidRDefault="00BE7137">
      <w:pPr>
        <w:rPr>
          <w:rFonts w:ascii="Rockwell" w:hAnsi="Rockwell"/>
        </w:rPr>
      </w:pPr>
      <w:r w:rsidRPr="00481C09">
        <w:rPr>
          <w:rFonts w:ascii="Rockwell" w:hAnsi="Rockwell"/>
        </w:rPr>
        <w:t xml:space="preserve">First, the </w:t>
      </w:r>
      <w:r w:rsidR="003C45B5" w:rsidRPr="00481C09">
        <w:rPr>
          <w:rFonts w:ascii="Rockwell" w:hAnsi="Rockwell"/>
        </w:rPr>
        <w:t>data sets</w:t>
      </w:r>
      <w:r w:rsidRPr="00481C09">
        <w:rPr>
          <w:rFonts w:ascii="Rockwell" w:hAnsi="Rockwell"/>
        </w:rPr>
        <w:t xml:space="preserve"> we used </w:t>
      </w:r>
      <w:r w:rsidR="00AD088C" w:rsidRPr="00481C09">
        <w:rPr>
          <w:rFonts w:ascii="Rockwell" w:hAnsi="Rockwell"/>
        </w:rPr>
        <w:t>provided data at the</w:t>
      </w:r>
      <w:r w:rsidRPr="00481C09">
        <w:rPr>
          <w:rFonts w:ascii="Rockwell" w:hAnsi="Rockwell"/>
        </w:rPr>
        <w:t xml:space="preserve"> county </w:t>
      </w:r>
      <w:r w:rsidR="00AD088C" w:rsidRPr="00481C09">
        <w:rPr>
          <w:rFonts w:ascii="Rockwell" w:hAnsi="Rockwell"/>
        </w:rPr>
        <w:t>level,</w:t>
      </w:r>
      <w:r w:rsidRPr="00481C09">
        <w:rPr>
          <w:rFonts w:ascii="Rockwell" w:hAnsi="Rockwell"/>
        </w:rPr>
        <w:t xml:space="preserve"> so this does not preclude areas with otherwise “good” food desert scores from </w:t>
      </w:r>
      <w:r w:rsidR="003C45B5" w:rsidRPr="00481C09">
        <w:rPr>
          <w:rFonts w:ascii="Rockwell" w:hAnsi="Rockwell"/>
        </w:rPr>
        <w:t>containing</w:t>
      </w:r>
      <w:r w:rsidRPr="00481C09">
        <w:rPr>
          <w:rFonts w:ascii="Rockwell" w:hAnsi="Rockwell"/>
        </w:rPr>
        <w:t xml:space="preserve"> multiple areas or tracts where food deserts are present. Also, we focused ou</w:t>
      </w:r>
      <w:r w:rsidR="00D57DAD" w:rsidRPr="00481C09">
        <w:rPr>
          <w:rFonts w:ascii="Rockwell" w:hAnsi="Rockwell"/>
        </w:rPr>
        <w:t>r</w:t>
      </w:r>
      <w:r w:rsidRPr="00481C09">
        <w:rPr>
          <w:rFonts w:ascii="Rockwell" w:hAnsi="Rockwell"/>
        </w:rPr>
        <w:t xml:space="preserve"> analysis Northern California. </w:t>
      </w:r>
      <w:r w:rsidR="00AD088C" w:rsidRPr="00481C09">
        <w:rPr>
          <w:rFonts w:ascii="Rockwell" w:hAnsi="Rockwell"/>
        </w:rPr>
        <w:t>Consequently,</w:t>
      </w:r>
      <w:r w:rsidRPr="00481C09">
        <w:rPr>
          <w:rFonts w:ascii="Rockwell" w:hAnsi="Rockwell"/>
        </w:rPr>
        <w:t xml:space="preserve"> while there may be moderate or even high </w:t>
      </w:r>
      <w:r w:rsidR="00AD088C" w:rsidRPr="00481C09">
        <w:rPr>
          <w:rFonts w:ascii="Rockwell" w:hAnsi="Rockwell"/>
        </w:rPr>
        <w:t xml:space="preserve">correlations between, for example low access scores and </w:t>
      </w:r>
      <w:r w:rsidR="00D57DAD" w:rsidRPr="00481C09">
        <w:rPr>
          <w:rFonts w:ascii="Rockwell" w:hAnsi="Rockwell"/>
        </w:rPr>
        <w:t>low-</w:t>
      </w:r>
      <w:r w:rsidR="00AD088C" w:rsidRPr="00481C09">
        <w:rPr>
          <w:rFonts w:ascii="Rockwell" w:hAnsi="Rockwell"/>
        </w:rPr>
        <w:t>income</w:t>
      </w:r>
      <w:r w:rsidR="00D57DAD" w:rsidRPr="00481C09">
        <w:rPr>
          <w:rFonts w:ascii="Rockwell" w:hAnsi="Rockwell"/>
        </w:rPr>
        <w:t xml:space="preserve"> </w:t>
      </w:r>
      <w:proofErr w:type="gramStart"/>
      <w:r w:rsidR="00D57DAD" w:rsidRPr="00481C09">
        <w:rPr>
          <w:rFonts w:ascii="Rockwell" w:hAnsi="Rockwell"/>
        </w:rPr>
        <w:t>population</w:t>
      </w:r>
      <w:r w:rsidR="00AD088C" w:rsidRPr="00481C09">
        <w:rPr>
          <w:rFonts w:ascii="Rockwell" w:hAnsi="Rockwell"/>
        </w:rPr>
        <w:t xml:space="preserve">, </w:t>
      </w:r>
      <w:r w:rsidRPr="00481C09">
        <w:rPr>
          <w:rFonts w:ascii="Rockwell" w:hAnsi="Rockwell"/>
        </w:rPr>
        <w:t xml:space="preserve"> p</w:t>
      </w:r>
      <w:proofErr w:type="gramEnd"/>
      <w:r w:rsidR="00AD088C" w:rsidRPr="00481C09">
        <w:rPr>
          <w:rFonts w:ascii="Rockwell" w:hAnsi="Rockwell"/>
        </w:rPr>
        <w:t>-</w:t>
      </w:r>
      <w:r w:rsidRPr="00481C09">
        <w:rPr>
          <w:rFonts w:ascii="Rockwell" w:hAnsi="Rockwell"/>
        </w:rPr>
        <w:t>values tended to be high as well</w:t>
      </w:r>
      <w:r w:rsidR="00AD088C" w:rsidRPr="00481C09">
        <w:rPr>
          <w:rFonts w:ascii="Rockwell" w:hAnsi="Rockwell"/>
        </w:rPr>
        <w:t xml:space="preserve">. For that reason, </w:t>
      </w:r>
      <w:r w:rsidRPr="00481C09">
        <w:rPr>
          <w:rFonts w:ascii="Rockwell" w:hAnsi="Rockwell"/>
        </w:rPr>
        <w:t xml:space="preserve">the scope may be a little too focused to draw </w:t>
      </w:r>
      <w:r w:rsidR="00AD088C" w:rsidRPr="00481C09">
        <w:rPr>
          <w:rFonts w:ascii="Rockwell" w:hAnsi="Rockwell"/>
        </w:rPr>
        <w:t>any concrete conclusions without further analysis.</w:t>
      </w:r>
    </w:p>
    <w:p w14:paraId="73574BD4" w14:textId="77777777" w:rsidR="00E72263" w:rsidRPr="00481C09" w:rsidRDefault="00E72263">
      <w:pPr>
        <w:rPr>
          <w:rFonts w:ascii="Rockwell" w:hAnsi="Rockwell"/>
        </w:rPr>
      </w:pPr>
    </w:p>
    <w:p w14:paraId="4D19FDE7" w14:textId="77777777" w:rsidR="00BE7137" w:rsidRPr="00481C09" w:rsidRDefault="00BE7137">
      <w:pPr>
        <w:rPr>
          <w:rFonts w:ascii="Rockwell" w:hAnsi="Rockwell"/>
        </w:rPr>
      </w:pPr>
    </w:p>
    <w:p w14:paraId="5F8DA72A" w14:textId="3A5705CD" w:rsidR="00BE7137" w:rsidRPr="00481C09" w:rsidRDefault="00BE7137">
      <w:pPr>
        <w:rPr>
          <w:rFonts w:ascii="Rockwell" w:hAnsi="Rockwell"/>
          <w:sz w:val="28"/>
          <w:szCs w:val="28"/>
        </w:rPr>
      </w:pPr>
      <w:r w:rsidRPr="00481C09">
        <w:rPr>
          <w:rFonts w:ascii="Rockwell" w:hAnsi="Rockwell"/>
          <w:sz w:val="28"/>
          <w:szCs w:val="28"/>
        </w:rPr>
        <w:t>Evidence:</w:t>
      </w:r>
    </w:p>
    <w:p w14:paraId="732BA8F9" w14:textId="77777777" w:rsidR="00E72263" w:rsidRPr="00481C09" w:rsidRDefault="00E72263">
      <w:pPr>
        <w:rPr>
          <w:rFonts w:ascii="Rockwell" w:hAnsi="Rockwell"/>
          <w:sz w:val="28"/>
          <w:szCs w:val="28"/>
        </w:rPr>
      </w:pPr>
    </w:p>
    <w:p w14:paraId="2938B0AE" w14:textId="47BFBD82" w:rsidR="00220449" w:rsidRPr="00481C09" w:rsidRDefault="00487CA9">
      <w:pPr>
        <w:rPr>
          <w:rFonts w:ascii="Rockwell" w:hAnsi="Rockwell"/>
          <w:i/>
          <w:iCs/>
        </w:rPr>
      </w:pPr>
      <w:r w:rsidRPr="00481C09">
        <w:rPr>
          <w:rFonts w:ascii="Rockwell" w:hAnsi="Rockwell"/>
          <w:i/>
          <w:iCs/>
        </w:rPr>
        <w:t>Region</w:t>
      </w:r>
      <w:r w:rsidR="00530987" w:rsidRPr="00481C09">
        <w:rPr>
          <w:rFonts w:ascii="Rockwell" w:hAnsi="Rockwell"/>
          <w:i/>
          <w:iCs/>
        </w:rPr>
        <w:t>al Differences</w:t>
      </w:r>
    </w:p>
    <w:p w14:paraId="6907D906" w14:textId="77777777" w:rsidR="001E08E7" w:rsidRPr="00481C09" w:rsidRDefault="001E08E7">
      <w:pPr>
        <w:rPr>
          <w:rFonts w:ascii="Rockwell" w:hAnsi="Rockwell"/>
        </w:rPr>
      </w:pPr>
    </w:p>
    <w:p w14:paraId="3495AF51" w14:textId="73171ED4" w:rsidR="00C26680" w:rsidRPr="00481C09" w:rsidRDefault="00220449">
      <w:pPr>
        <w:rPr>
          <w:rFonts w:ascii="Rockwell" w:hAnsi="Rockwell"/>
        </w:rPr>
      </w:pPr>
      <w:r w:rsidRPr="00481C09">
        <w:rPr>
          <w:rFonts w:ascii="Rockwell" w:hAnsi="Rockwell"/>
        </w:rPr>
        <w:t xml:space="preserve">We found that over the 5 years from 2010 to 2015, two of the three of Northern California’s regions did better and had a </w:t>
      </w:r>
      <w:r w:rsidR="003C45B5" w:rsidRPr="00481C09">
        <w:rPr>
          <w:rFonts w:ascii="Rockwell" w:hAnsi="Rockwell"/>
        </w:rPr>
        <w:t>smaller population</w:t>
      </w:r>
      <w:r w:rsidRPr="00481C09">
        <w:rPr>
          <w:rFonts w:ascii="Rockwell" w:hAnsi="Rockwell"/>
        </w:rPr>
        <w:t xml:space="preserve"> that lived in areas with low access.</w:t>
      </w:r>
    </w:p>
    <w:p w14:paraId="78384FF3" w14:textId="77777777" w:rsidR="00C26680" w:rsidRPr="00481C09" w:rsidRDefault="00C26680">
      <w:pPr>
        <w:rPr>
          <w:rFonts w:ascii="Rockwell" w:hAnsi="Rockwell"/>
        </w:rPr>
      </w:pPr>
    </w:p>
    <w:p w14:paraId="1F492982" w14:textId="00ADE8B0" w:rsidR="00C26680" w:rsidRPr="00481C09" w:rsidRDefault="00000000" w:rsidP="00C26680">
      <w:pPr>
        <w:pStyle w:val="HTMLPreformatted"/>
        <w:spacing w:line="244" w:lineRule="atLeast"/>
        <w:rPr>
          <w:rFonts w:ascii="Rockwell" w:hAnsi="Rockwell"/>
          <w:color w:val="212121"/>
          <w:sz w:val="24"/>
          <w:szCs w:val="24"/>
        </w:rPr>
      </w:pPr>
      <w:hyperlink r:id="rId8" w:history="1">
        <w:r w:rsidR="00C26680" w:rsidRPr="00481C09">
          <w:rPr>
            <w:rStyle w:val="Hyperlink"/>
            <w:rFonts w:ascii="Rockwell" w:hAnsi="Rockwell"/>
            <w:sz w:val="24"/>
            <w:szCs w:val="24"/>
          </w:rPr>
          <w:t>Pie Chart 1</w:t>
        </w:r>
      </w:hyperlink>
      <w:r w:rsidR="00C26680" w:rsidRPr="00481C09">
        <w:rPr>
          <w:rFonts w:ascii="Rockwell" w:hAnsi="Rockwell"/>
          <w:sz w:val="24"/>
          <w:szCs w:val="24"/>
        </w:rPr>
        <w:t xml:space="preserve"> - </w:t>
      </w:r>
      <w:r w:rsidR="00C26680" w:rsidRPr="00481C09">
        <w:rPr>
          <w:rStyle w:val="s1"/>
          <w:rFonts w:ascii="Rockwell" w:hAnsi="Rockwell"/>
          <w:color w:val="212121"/>
          <w:sz w:val="24"/>
          <w:szCs w:val="24"/>
        </w:rPr>
        <w:t xml:space="preserve">All Counties 2010 Population by Access and </w:t>
      </w:r>
      <w:proofErr w:type="gramStart"/>
      <w:r w:rsidR="00C26680" w:rsidRPr="00481C09">
        <w:rPr>
          <w:rStyle w:val="s1"/>
          <w:rFonts w:ascii="Rockwell" w:hAnsi="Rockwell"/>
          <w:color w:val="212121"/>
          <w:sz w:val="24"/>
          <w:szCs w:val="24"/>
        </w:rPr>
        <w:t>Low Income</w:t>
      </w:r>
      <w:proofErr w:type="gramEnd"/>
      <w:r w:rsidR="00C26680" w:rsidRPr="00481C09">
        <w:rPr>
          <w:rStyle w:val="s1"/>
          <w:rFonts w:ascii="Rockwell" w:hAnsi="Rockwell"/>
          <w:color w:val="212121"/>
          <w:sz w:val="24"/>
          <w:szCs w:val="24"/>
        </w:rPr>
        <w:t xml:space="preserve"> Low Access</w:t>
      </w:r>
      <w:r w:rsidR="00C26680" w:rsidRPr="00481C09">
        <w:rPr>
          <w:rFonts w:ascii="Rockwell" w:hAnsi="Rockwell"/>
          <w:sz w:val="24"/>
          <w:szCs w:val="24"/>
        </w:rPr>
        <w:t xml:space="preserve"> </w:t>
      </w:r>
    </w:p>
    <w:p w14:paraId="372182FC" w14:textId="54CA2FB9" w:rsidR="00C26680" w:rsidRPr="00481C09" w:rsidRDefault="00C26680">
      <w:pPr>
        <w:rPr>
          <w:rFonts w:ascii="Rockwell" w:hAnsi="Rockwell"/>
        </w:rPr>
      </w:pPr>
    </w:p>
    <w:p w14:paraId="03961443" w14:textId="1D146997" w:rsidR="00C26680" w:rsidRPr="00481C09" w:rsidRDefault="00000000" w:rsidP="00C26680">
      <w:pPr>
        <w:pStyle w:val="HTMLPreformatted"/>
        <w:spacing w:line="244" w:lineRule="atLeast"/>
        <w:rPr>
          <w:rFonts w:ascii="Rockwell" w:hAnsi="Rockwell"/>
          <w:color w:val="212121"/>
          <w:sz w:val="24"/>
          <w:szCs w:val="24"/>
        </w:rPr>
      </w:pPr>
      <w:hyperlink r:id="rId9" w:history="1">
        <w:r w:rsidR="00C26680" w:rsidRPr="00481C09">
          <w:rPr>
            <w:rStyle w:val="Hyperlink"/>
            <w:rFonts w:ascii="Rockwell" w:hAnsi="Rockwell"/>
            <w:sz w:val="24"/>
            <w:szCs w:val="24"/>
          </w:rPr>
          <w:t>Pie Chart 2</w:t>
        </w:r>
      </w:hyperlink>
      <w:r w:rsidR="00C26680" w:rsidRPr="00481C09">
        <w:rPr>
          <w:rFonts w:ascii="Rockwell" w:hAnsi="Rockwell"/>
          <w:sz w:val="24"/>
          <w:szCs w:val="24"/>
        </w:rPr>
        <w:t xml:space="preserve"> </w:t>
      </w:r>
      <w:proofErr w:type="gramStart"/>
      <w:r w:rsidR="00C26680" w:rsidRPr="00481C09">
        <w:rPr>
          <w:rFonts w:ascii="Rockwell" w:hAnsi="Rockwell"/>
          <w:sz w:val="24"/>
          <w:szCs w:val="24"/>
        </w:rPr>
        <w:t xml:space="preserve">-  </w:t>
      </w:r>
      <w:r w:rsidR="00C26680" w:rsidRPr="00481C09">
        <w:rPr>
          <w:rStyle w:val="s1"/>
          <w:rFonts w:ascii="Rockwell" w:hAnsi="Rockwell"/>
          <w:color w:val="212121"/>
          <w:sz w:val="24"/>
          <w:szCs w:val="24"/>
        </w:rPr>
        <w:t>All</w:t>
      </w:r>
      <w:proofErr w:type="gramEnd"/>
      <w:r w:rsidR="00C26680" w:rsidRPr="00481C09">
        <w:rPr>
          <w:rStyle w:val="s1"/>
          <w:rFonts w:ascii="Rockwell" w:hAnsi="Rockwell"/>
          <w:color w:val="212121"/>
          <w:sz w:val="24"/>
          <w:szCs w:val="24"/>
        </w:rPr>
        <w:t xml:space="preserve"> Counties 2015 Population by Access and Low Income Low Access</w:t>
      </w:r>
    </w:p>
    <w:p w14:paraId="0130E365" w14:textId="77777777" w:rsidR="00C26680" w:rsidRPr="00481C09" w:rsidRDefault="00C26680">
      <w:pPr>
        <w:rPr>
          <w:rFonts w:ascii="Rockwell" w:hAnsi="Rockwell"/>
        </w:rPr>
      </w:pPr>
    </w:p>
    <w:p w14:paraId="41F82BD1" w14:textId="004DA7C3" w:rsidR="00220449" w:rsidRPr="00481C09" w:rsidRDefault="00220449">
      <w:pPr>
        <w:rPr>
          <w:rFonts w:ascii="Rockwell" w:hAnsi="Rockwell"/>
        </w:rPr>
      </w:pPr>
      <w:r w:rsidRPr="00481C09">
        <w:rPr>
          <w:rFonts w:ascii="Rockwell" w:hAnsi="Rockwell"/>
        </w:rPr>
        <w:t xml:space="preserve"> In both the Bay Area and the Central Valley, we saw a decrease from in the population of people with low-income and low access residents. </w:t>
      </w:r>
      <w:r w:rsidR="00487CA9" w:rsidRPr="00481C09">
        <w:rPr>
          <w:rFonts w:ascii="Rockwell" w:hAnsi="Rockwell"/>
        </w:rPr>
        <w:t>The Sacramento region show</w:t>
      </w:r>
      <w:r w:rsidRPr="00481C09">
        <w:rPr>
          <w:rFonts w:ascii="Rockwell" w:hAnsi="Rockwell"/>
        </w:rPr>
        <w:t>ed</w:t>
      </w:r>
      <w:r w:rsidR="00487CA9" w:rsidRPr="00481C09">
        <w:rPr>
          <w:rFonts w:ascii="Rockwell" w:hAnsi="Rockwell"/>
        </w:rPr>
        <w:t xml:space="preserve"> the least progress, while the </w:t>
      </w:r>
      <w:r w:rsidRPr="00481C09">
        <w:rPr>
          <w:rFonts w:ascii="Rockwell" w:hAnsi="Rockwell"/>
        </w:rPr>
        <w:t>B</w:t>
      </w:r>
      <w:r w:rsidR="00487CA9" w:rsidRPr="00481C09">
        <w:rPr>
          <w:rFonts w:ascii="Rockwell" w:hAnsi="Rockwell"/>
        </w:rPr>
        <w:t xml:space="preserve">ay </w:t>
      </w:r>
      <w:r w:rsidRPr="00481C09">
        <w:rPr>
          <w:rFonts w:ascii="Rockwell" w:hAnsi="Rockwell"/>
        </w:rPr>
        <w:t>A</w:t>
      </w:r>
      <w:r w:rsidR="00487CA9" w:rsidRPr="00481C09">
        <w:rPr>
          <w:rFonts w:ascii="Rockwell" w:hAnsi="Rockwell"/>
        </w:rPr>
        <w:t xml:space="preserve">rea showed the most. </w:t>
      </w:r>
      <w:hyperlink r:id="rId10" w:history="1">
        <w:r w:rsidR="00487CA9" w:rsidRPr="00481C09">
          <w:rPr>
            <w:rStyle w:val="Hyperlink"/>
            <w:rFonts w:ascii="Rockwell" w:hAnsi="Rockwell"/>
          </w:rPr>
          <w:t>(See fig…)</w:t>
        </w:r>
      </w:hyperlink>
      <w:r w:rsidR="00487CA9" w:rsidRPr="00481C09">
        <w:rPr>
          <w:rFonts w:ascii="Rockwell" w:hAnsi="Rockwell"/>
        </w:rPr>
        <w:t xml:space="preserve"> </w:t>
      </w:r>
    </w:p>
    <w:p w14:paraId="13944BB8" w14:textId="77777777" w:rsidR="00E72263" w:rsidRPr="00481C09" w:rsidRDefault="00E72263">
      <w:pPr>
        <w:rPr>
          <w:rFonts w:ascii="Rockwell" w:hAnsi="Rockwell"/>
        </w:rPr>
      </w:pPr>
    </w:p>
    <w:p w14:paraId="202DDE84" w14:textId="77777777" w:rsidR="00220449" w:rsidRPr="00481C09" w:rsidRDefault="00220449">
      <w:pPr>
        <w:rPr>
          <w:rFonts w:ascii="Rockwell" w:hAnsi="Rockwell"/>
        </w:rPr>
      </w:pPr>
    </w:p>
    <w:p w14:paraId="608761D4" w14:textId="3C1A8FDE" w:rsidR="00C26680" w:rsidRPr="00481C09" w:rsidRDefault="00530987">
      <w:pPr>
        <w:rPr>
          <w:rFonts w:ascii="Rockwell" w:hAnsi="Rockwell"/>
        </w:rPr>
      </w:pPr>
      <w:r w:rsidRPr="00481C09">
        <w:rPr>
          <w:rFonts w:ascii="Rockwell" w:hAnsi="Rockwell"/>
        </w:rPr>
        <w:t xml:space="preserve">Additionally, while the Sacramento region saw an increase in </w:t>
      </w:r>
      <w:r w:rsidR="003C45B5" w:rsidRPr="00481C09">
        <w:rPr>
          <w:rFonts w:ascii="Rockwell" w:hAnsi="Rockwell"/>
        </w:rPr>
        <w:t>the</w:t>
      </w:r>
      <w:r w:rsidRPr="00481C09">
        <w:rPr>
          <w:rFonts w:ascii="Rockwell" w:hAnsi="Rockwell"/>
        </w:rPr>
        <w:t xml:space="preserve"> population</w:t>
      </w:r>
      <w:r w:rsidR="003C45B5" w:rsidRPr="00481C09">
        <w:rPr>
          <w:rFonts w:ascii="Rockwell" w:hAnsi="Rockwell"/>
        </w:rPr>
        <w:t xml:space="preserve"> with low access to healthful foods</w:t>
      </w:r>
      <w:r w:rsidRPr="00481C09">
        <w:rPr>
          <w:rFonts w:ascii="Rockwell" w:hAnsi="Rockwell"/>
        </w:rPr>
        <w:t>, it was not dramatic.</w:t>
      </w:r>
      <w:r w:rsidR="00487CA9" w:rsidRPr="00481C09">
        <w:rPr>
          <w:rFonts w:ascii="Rockwell" w:hAnsi="Rockwell"/>
        </w:rPr>
        <w:t xml:space="preserve"> </w:t>
      </w:r>
      <w:r w:rsidR="00C26680" w:rsidRPr="00481C09">
        <w:rPr>
          <w:rFonts w:ascii="Rockwell" w:hAnsi="Rockwell"/>
        </w:rPr>
        <w:t xml:space="preserve">It also contained two of the five </w:t>
      </w:r>
      <w:r w:rsidR="00C26680" w:rsidRPr="00481C09">
        <w:rPr>
          <w:rFonts w:ascii="Rockwell" w:hAnsi="Rockwell"/>
        </w:rPr>
        <w:lastRenderedPageBreak/>
        <w:t xml:space="preserve">counties with the largest decrease in access. </w:t>
      </w:r>
      <w:r w:rsidRPr="00481C09">
        <w:rPr>
          <w:rFonts w:ascii="Rockwell" w:hAnsi="Rockwell"/>
        </w:rPr>
        <w:t xml:space="preserve">The region also had almost no </w:t>
      </w:r>
      <w:r w:rsidR="003C45B5" w:rsidRPr="00481C09">
        <w:rPr>
          <w:rFonts w:ascii="Rockwell" w:hAnsi="Rockwell"/>
        </w:rPr>
        <w:t xml:space="preserve">overall </w:t>
      </w:r>
      <w:r w:rsidRPr="00481C09">
        <w:rPr>
          <w:rFonts w:ascii="Rockwell" w:hAnsi="Rockwell"/>
        </w:rPr>
        <w:t>population change, meaning that it was the only region to not see a large increase in population</w:t>
      </w:r>
      <w:r w:rsidR="003C45B5" w:rsidRPr="00481C09">
        <w:rPr>
          <w:rFonts w:ascii="Rockwell" w:hAnsi="Rockwell"/>
        </w:rPr>
        <w:t xml:space="preserve"> in the three on which we centered our attention</w:t>
      </w:r>
      <w:r w:rsidRPr="00481C09">
        <w:rPr>
          <w:rFonts w:ascii="Rockwell" w:hAnsi="Rockwell"/>
        </w:rPr>
        <w:t>. As we will see, this might be the biggest indicator of the rise in low access percentages.</w:t>
      </w:r>
      <w:r w:rsidR="00470CC3" w:rsidRPr="00481C09">
        <w:rPr>
          <w:rFonts w:ascii="Rockwell" w:hAnsi="Rockwell"/>
        </w:rPr>
        <w:t xml:space="preserve"> </w:t>
      </w:r>
    </w:p>
    <w:p w14:paraId="4A8A0792" w14:textId="77777777" w:rsidR="00220449" w:rsidRPr="00481C09" w:rsidRDefault="00220449">
      <w:pPr>
        <w:rPr>
          <w:rFonts w:ascii="Rockwell" w:hAnsi="Rockwell"/>
        </w:rPr>
      </w:pPr>
    </w:p>
    <w:p w14:paraId="288F21F6" w14:textId="77777777" w:rsidR="00487CA9" w:rsidRPr="00481C09" w:rsidRDefault="00487CA9">
      <w:pPr>
        <w:rPr>
          <w:rFonts w:ascii="Rockwell" w:hAnsi="Rockwell"/>
        </w:rPr>
      </w:pPr>
    </w:p>
    <w:p w14:paraId="58A71767" w14:textId="2F10C163" w:rsidR="007B6D9D" w:rsidRPr="00481C09" w:rsidRDefault="00B42BF5">
      <w:pPr>
        <w:rPr>
          <w:rFonts w:ascii="Rockwell" w:hAnsi="Rockwell"/>
          <w:i/>
          <w:iCs/>
        </w:rPr>
      </w:pPr>
      <w:r w:rsidRPr="00481C09">
        <w:rPr>
          <w:rFonts w:ascii="Rockwell" w:hAnsi="Rockwell"/>
          <w:i/>
          <w:iCs/>
        </w:rPr>
        <w:t>Access, Groceries, and Ronald</w:t>
      </w:r>
    </w:p>
    <w:p w14:paraId="573E9C2A" w14:textId="77777777" w:rsidR="001E08E7" w:rsidRPr="00481C09" w:rsidRDefault="001E08E7">
      <w:pPr>
        <w:rPr>
          <w:rFonts w:ascii="Rockwell" w:hAnsi="Rockwell"/>
        </w:rPr>
      </w:pPr>
    </w:p>
    <w:p w14:paraId="3B838790" w14:textId="145E9F8E" w:rsidR="006F4100" w:rsidRPr="00481C09" w:rsidRDefault="00282D91">
      <w:pPr>
        <w:rPr>
          <w:rFonts w:ascii="Rockwell" w:hAnsi="Rockwell"/>
        </w:rPr>
      </w:pPr>
      <w:r w:rsidRPr="00481C09">
        <w:rPr>
          <w:rFonts w:ascii="Rockwell" w:hAnsi="Rockwell"/>
        </w:rPr>
        <w:t xml:space="preserve">The presence of grocery store and superstore access are two of the most important indicators of low access to healthy food options. </w:t>
      </w:r>
      <w:r w:rsidR="00E077E2" w:rsidRPr="00481C09">
        <w:rPr>
          <w:rFonts w:ascii="Rockwell" w:hAnsi="Rockwell"/>
        </w:rPr>
        <w:t>As access decreased so did grocery store</w:t>
      </w:r>
      <w:r w:rsidR="00470CC3" w:rsidRPr="00481C09">
        <w:rPr>
          <w:rFonts w:ascii="Rockwell" w:hAnsi="Rockwell"/>
        </w:rPr>
        <w:t>s</w:t>
      </w:r>
      <w:r w:rsidR="00E077E2" w:rsidRPr="00481C09">
        <w:rPr>
          <w:rFonts w:ascii="Rockwell" w:hAnsi="Rockwell"/>
        </w:rPr>
        <w:t>, but not as drastically as we expected.</w:t>
      </w:r>
      <w:r w:rsidR="006F4100" w:rsidRPr="00481C09">
        <w:rPr>
          <w:rFonts w:ascii="Rockwell" w:hAnsi="Rockwell"/>
        </w:rPr>
        <w:t xml:space="preserve"> </w:t>
      </w:r>
    </w:p>
    <w:p w14:paraId="48BA6CD2" w14:textId="39C72205" w:rsidR="00282D91" w:rsidRPr="00481C09" w:rsidRDefault="00282D91">
      <w:pPr>
        <w:rPr>
          <w:rFonts w:ascii="Rockwell" w:hAnsi="Rockwell"/>
        </w:rPr>
      </w:pPr>
    </w:p>
    <w:p w14:paraId="4381E5BC" w14:textId="77777777" w:rsidR="00E72263" w:rsidRPr="00481C09" w:rsidRDefault="00E72263">
      <w:pPr>
        <w:rPr>
          <w:rFonts w:ascii="Rockwell" w:hAnsi="Rockwell"/>
        </w:rPr>
      </w:pPr>
    </w:p>
    <w:p w14:paraId="0ED0C0B1" w14:textId="3BF179C7" w:rsidR="00282D91" w:rsidRPr="00481C09" w:rsidRDefault="00E077E2">
      <w:pPr>
        <w:rPr>
          <w:rFonts w:ascii="Rockwell" w:hAnsi="Rockwell"/>
        </w:rPr>
      </w:pPr>
      <w:r w:rsidRPr="00481C09">
        <w:rPr>
          <w:rFonts w:ascii="Rockwell" w:hAnsi="Rockwell"/>
        </w:rPr>
        <w:t>However, fast</w:t>
      </w:r>
      <w:r w:rsidR="00282D91" w:rsidRPr="00481C09">
        <w:rPr>
          <w:rFonts w:ascii="Rockwell" w:hAnsi="Rockwell"/>
        </w:rPr>
        <w:t xml:space="preserve"> food options stayed </w:t>
      </w:r>
      <w:proofErr w:type="gramStart"/>
      <w:r w:rsidR="00F546F6" w:rsidRPr="00481C09">
        <w:rPr>
          <w:rFonts w:ascii="Rockwell" w:hAnsi="Rockwell"/>
        </w:rPr>
        <w:t>more</w:t>
      </w:r>
      <w:r w:rsidR="00282D91" w:rsidRPr="00481C09">
        <w:rPr>
          <w:rFonts w:ascii="Rockwell" w:hAnsi="Rockwell"/>
        </w:rPr>
        <w:t xml:space="preserve"> </w:t>
      </w:r>
      <w:r w:rsidRPr="00481C09">
        <w:rPr>
          <w:rFonts w:ascii="Rockwell" w:hAnsi="Rockwell"/>
        </w:rPr>
        <w:t xml:space="preserve">or less </w:t>
      </w:r>
      <w:r w:rsidR="00282D91" w:rsidRPr="00481C09">
        <w:rPr>
          <w:rFonts w:ascii="Rockwell" w:hAnsi="Rockwell"/>
        </w:rPr>
        <w:t>constant</w:t>
      </w:r>
      <w:proofErr w:type="gramEnd"/>
      <w:r w:rsidR="00F546F6" w:rsidRPr="00481C09">
        <w:rPr>
          <w:rFonts w:ascii="Rockwell" w:hAnsi="Rockwell"/>
        </w:rPr>
        <w:t xml:space="preserve"> in Norther</w:t>
      </w:r>
      <w:r w:rsidR="0051494E" w:rsidRPr="00481C09">
        <w:rPr>
          <w:rFonts w:ascii="Rockwell" w:hAnsi="Rockwell"/>
        </w:rPr>
        <w:t>n</w:t>
      </w:r>
      <w:r w:rsidR="00F546F6" w:rsidRPr="00481C09">
        <w:rPr>
          <w:rFonts w:ascii="Rockwell" w:hAnsi="Rockwell"/>
        </w:rPr>
        <w:t xml:space="preserve"> CA</w:t>
      </w:r>
      <w:r w:rsidR="00282D91" w:rsidRPr="00481C09">
        <w:rPr>
          <w:rFonts w:ascii="Rockwell" w:hAnsi="Rockwell"/>
        </w:rPr>
        <w:t xml:space="preserve"> even as other option</w:t>
      </w:r>
      <w:r w:rsidR="0051494E" w:rsidRPr="00481C09">
        <w:rPr>
          <w:rFonts w:ascii="Rockwell" w:hAnsi="Rockwell"/>
        </w:rPr>
        <w:t>s, grocery stores for example,</w:t>
      </w:r>
      <w:r w:rsidR="00282D91" w:rsidRPr="00481C09">
        <w:rPr>
          <w:rFonts w:ascii="Rockwell" w:hAnsi="Rockwell"/>
        </w:rPr>
        <w:t xml:space="preserve"> decreased, leaving counties with low access scores, </w:t>
      </w:r>
      <w:r w:rsidR="00637DEF" w:rsidRPr="00481C09">
        <w:rPr>
          <w:rFonts w:ascii="Rockwell" w:hAnsi="Rockwell"/>
        </w:rPr>
        <w:t>higher access to fast food in comparison to other healthy option</w:t>
      </w:r>
      <w:r w:rsidRPr="00481C09">
        <w:rPr>
          <w:rFonts w:ascii="Rockwell" w:hAnsi="Rockwell"/>
        </w:rPr>
        <w:t>s</w:t>
      </w:r>
      <w:r w:rsidR="00637DEF" w:rsidRPr="00481C09">
        <w:rPr>
          <w:rFonts w:ascii="Rockwell" w:hAnsi="Rockwell"/>
        </w:rPr>
        <w:t>.</w:t>
      </w:r>
      <w:r w:rsidR="00530987" w:rsidRPr="00481C09">
        <w:rPr>
          <w:rFonts w:ascii="Rockwell" w:hAnsi="Rockwell"/>
        </w:rPr>
        <w:t xml:space="preserve"> </w:t>
      </w:r>
      <w:r w:rsidR="003E6CA2" w:rsidRPr="00481C09">
        <w:rPr>
          <w:rFonts w:ascii="Rockwell" w:hAnsi="Rockwell"/>
        </w:rPr>
        <w:t xml:space="preserve">When comparing increases in low access to increases in fast food, we had a p-value of significantly less than .05 and a correlation coefficient of essentially zero (-.01)  </w:t>
      </w:r>
      <w:hyperlink r:id="rId11" w:history="1">
        <w:r w:rsidR="00220449" w:rsidRPr="00481C09">
          <w:rPr>
            <w:rStyle w:val="Hyperlink"/>
            <w:rFonts w:ascii="Rockwell" w:hAnsi="Rockwell"/>
          </w:rPr>
          <w:t>(see fig…)</w:t>
        </w:r>
      </w:hyperlink>
    </w:p>
    <w:p w14:paraId="543B30BF" w14:textId="77777777" w:rsidR="00E72263" w:rsidRPr="00481C09" w:rsidRDefault="00E72263">
      <w:pPr>
        <w:rPr>
          <w:rFonts w:ascii="Rockwell" w:hAnsi="Rockwell"/>
        </w:rPr>
      </w:pPr>
    </w:p>
    <w:p w14:paraId="632593D0" w14:textId="77777777" w:rsidR="003C4147" w:rsidRPr="00481C09" w:rsidRDefault="003C4147">
      <w:pPr>
        <w:rPr>
          <w:rFonts w:ascii="Rockwell" w:hAnsi="Rockwell"/>
        </w:rPr>
      </w:pPr>
    </w:p>
    <w:p w14:paraId="0EB14AE1" w14:textId="4C2E04A6" w:rsidR="00E72263" w:rsidRPr="00481C09" w:rsidRDefault="007B6D9D">
      <w:pPr>
        <w:rPr>
          <w:rFonts w:ascii="Rockwell" w:hAnsi="Rockwell"/>
          <w:i/>
          <w:iCs/>
        </w:rPr>
      </w:pPr>
      <w:r w:rsidRPr="00481C09">
        <w:rPr>
          <w:rFonts w:ascii="Rockwell" w:hAnsi="Rockwell"/>
          <w:i/>
          <w:iCs/>
        </w:rPr>
        <w:t>Demographics</w:t>
      </w:r>
    </w:p>
    <w:p w14:paraId="577507BB" w14:textId="77777777" w:rsidR="001E08E7" w:rsidRPr="00481C09" w:rsidRDefault="001E08E7">
      <w:pPr>
        <w:rPr>
          <w:rFonts w:ascii="Rockwell" w:hAnsi="Rockwell"/>
        </w:rPr>
      </w:pPr>
    </w:p>
    <w:p w14:paraId="29B270E6" w14:textId="1562ED9D" w:rsidR="00D1610E" w:rsidRPr="00481C09" w:rsidRDefault="009A67BA">
      <w:pPr>
        <w:rPr>
          <w:rFonts w:ascii="Rockwell" w:hAnsi="Rockwell"/>
        </w:rPr>
      </w:pPr>
      <w:r w:rsidRPr="00481C09">
        <w:rPr>
          <w:rFonts w:ascii="Rockwell" w:hAnsi="Rockwell"/>
        </w:rPr>
        <w:t>Expectedly</w:t>
      </w:r>
      <w:r w:rsidR="00D1610E" w:rsidRPr="00481C09">
        <w:rPr>
          <w:rFonts w:ascii="Rockwell" w:hAnsi="Rockwell"/>
        </w:rPr>
        <w:t xml:space="preserve">, </w:t>
      </w:r>
      <w:r w:rsidR="003F42C6" w:rsidRPr="00481C09">
        <w:rPr>
          <w:rFonts w:ascii="Rockwell" w:hAnsi="Rockwell"/>
        </w:rPr>
        <w:t>low-income</w:t>
      </w:r>
      <w:r w:rsidR="00D1610E" w:rsidRPr="00481C09">
        <w:rPr>
          <w:rFonts w:ascii="Rockwell" w:hAnsi="Rockwell"/>
        </w:rPr>
        <w:t xml:space="preserve"> populations were mostly likely to </w:t>
      </w:r>
      <w:r w:rsidRPr="00481C09">
        <w:rPr>
          <w:rFonts w:ascii="Rockwell" w:hAnsi="Rockwell"/>
        </w:rPr>
        <w:t xml:space="preserve">with low access. </w:t>
      </w:r>
    </w:p>
    <w:p w14:paraId="19A1BAC2" w14:textId="77777777" w:rsidR="009A67BA" w:rsidRPr="00481C09" w:rsidRDefault="009A67BA">
      <w:pPr>
        <w:rPr>
          <w:rFonts w:ascii="Rockwell" w:hAnsi="Rockwell"/>
        </w:rPr>
      </w:pPr>
    </w:p>
    <w:p w14:paraId="4536310E" w14:textId="77777777" w:rsidR="00E72263" w:rsidRPr="00481C09" w:rsidRDefault="00E72263">
      <w:pPr>
        <w:rPr>
          <w:rFonts w:ascii="Rockwell" w:hAnsi="Rockwell"/>
        </w:rPr>
      </w:pPr>
    </w:p>
    <w:p w14:paraId="6F5AD768" w14:textId="77777777" w:rsidR="003F42C6" w:rsidRPr="00481C09" w:rsidRDefault="003F42C6">
      <w:pPr>
        <w:rPr>
          <w:rFonts w:ascii="Rockwell" w:hAnsi="Rockwell"/>
        </w:rPr>
      </w:pPr>
      <w:r w:rsidRPr="00481C09">
        <w:rPr>
          <w:rFonts w:ascii="Rockwell" w:hAnsi="Rockwell"/>
        </w:rPr>
        <w:t xml:space="preserve">In addition, while rural communities saw the greatest increases in low access, there was also evidence that as the percent of minority community increased, low access increased as well. </w:t>
      </w:r>
    </w:p>
    <w:p w14:paraId="17DAE6AA" w14:textId="77777777" w:rsidR="003F42C6" w:rsidRPr="00481C09" w:rsidRDefault="003F42C6">
      <w:pPr>
        <w:rPr>
          <w:rFonts w:ascii="Rockwell" w:hAnsi="Rockwell"/>
        </w:rPr>
      </w:pPr>
    </w:p>
    <w:p w14:paraId="01D146D9" w14:textId="77777777" w:rsidR="00E72263" w:rsidRPr="00481C09" w:rsidRDefault="00E72263">
      <w:pPr>
        <w:rPr>
          <w:rFonts w:ascii="Rockwell" w:hAnsi="Rockwell"/>
        </w:rPr>
      </w:pPr>
    </w:p>
    <w:p w14:paraId="3280CA17" w14:textId="2A960A20" w:rsidR="00E077E2" w:rsidRPr="00481C09" w:rsidRDefault="00102769">
      <w:pPr>
        <w:rPr>
          <w:rFonts w:ascii="Rockwell" w:hAnsi="Rockwell"/>
        </w:rPr>
      </w:pPr>
      <w:r w:rsidRPr="00481C09">
        <w:rPr>
          <w:rFonts w:ascii="Rockwell" w:hAnsi="Rockwell"/>
        </w:rPr>
        <w:t>Overall</w:t>
      </w:r>
      <w:r w:rsidR="003F42C6" w:rsidRPr="00481C09">
        <w:rPr>
          <w:rFonts w:ascii="Rockwell" w:hAnsi="Rockwell"/>
        </w:rPr>
        <w:t>, we found a moderate negative correlation between the percentage of White residents and low access scores. While communities with a larger percentage of Black</w:t>
      </w:r>
      <w:r w:rsidR="002E0B7A" w:rsidRPr="00481C09">
        <w:rPr>
          <w:rFonts w:ascii="Rockwell" w:hAnsi="Rockwell"/>
        </w:rPr>
        <w:t>, Asian,</w:t>
      </w:r>
      <w:r w:rsidR="003F42C6" w:rsidRPr="00481C09">
        <w:rPr>
          <w:rFonts w:ascii="Rockwell" w:hAnsi="Rockwell"/>
        </w:rPr>
        <w:t xml:space="preserve"> and Hispan</w:t>
      </w:r>
      <w:r w:rsidR="002E0B7A" w:rsidRPr="00481C09">
        <w:rPr>
          <w:rFonts w:ascii="Rockwell" w:hAnsi="Rockwell"/>
        </w:rPr>
        <w:t xml:space="preserve">ic communities saw lower access to healthy food options in 2015 </w:t>
      </w:r>
      <w:r w:rsidR="00D57DAD" w:rsidRPr="00481C09">
        <w:rPr>
          <w:rFonts w:ascii="Rockwell" w:hAnsi="Rockwell"/>
        </w:rPr>
        <w:t>and</w:t>
      </w:r>
      <w:r w:rsidR="004A3E30" w:rsidRPr="00481C09">
        <w:rPr>
          <w:rFonts w:ascii="Rockwell" w:hAnsi="Rockwell"/>
        </w:rPr>
        <w:t xml:space="preserve"> their respective populations increased.</w:t>
      </w:r>
      <w:r w:rsidR="006F4100" w:rsidRPr="00481C09">
        <w:rPr>
          <w:rFonts w:ascii="Rockwell" w:hAnsi="Rockwell"/>
        </w:rPr>
        <w:t xml:space="preserve"> </w:t>
      </w:r>
      <w:r w:rsidR="00E077E2" w:rsidRPr="00481C09">
        <w:rPr>
          <w:rFonts w:ascii="Rockwell" w:hAnsi="Rockwell"/>
        </w:rPr>
        <w:t xml:space="preserve">Counties with larger </w:t>
      </w:r>
      <w:r w:rsidR="006F4100" w:rsidRPr="00481C09">
        <w:rPr>
          <w:rFonts w:ascii="Rockwell" w:hAnsi="Rockwell"/>
        </w:rPr>
        <w:t>W</w:t>
      </w:r>
      <w:r w:rsidR="00E077E2" w:rsidRPr="00481C09">
        <w:rPr>
          <w:rFonts w:ascii="Rockwell" w:hAnsi="Rockwell"/>
        </w:rPr>
        <w:t xml:space="preserve">hite populations saw higher access to healthy food options. </w:t>
      </w:r>
      <w:r w:rsidR="009F55E4" w:rsidRPr="00481C09">
        <w:rPr>
          <w:rFonts w:ascii="Rockwell" w:hAnsi="Rockwell"/>
        </w:rPr>
        <w:t xml:space="preserve">In contrast, </w:t>
      </w:r>
      <w:r w:rsidR="00E077E2" w:rsidRPr="00481C09">
        <w:rPr>
          <w:rFonts w:ascii="Rockwell" w:hAnsi="Rockwell"/>
        </w:rPr>
        <w:t>we saw that</w:t>
      </w:r>
      <w:r w:rsidR="009F55E4" w:rsidRPr="00481C09">
        <w:rPr>
          <w:rFonts w:ascii="Rockwell" w:hAnsi="Rockwell"/>
        </w:rPr>
        <w:t xml:space="preserve"> for</w:t>
      </w:r>
      <w:r w:rsidR="00E077E2" w:rsidRPr="00481C09">
        <w:rPr>
          <w:rFonts w:ascii="Rockwell" w:hAnsi="Rockwell"/>
        </w:rPr>
        <w:t xml:space="preserve"> every </w:t>
      </w:r>
      <w:r w:rsidR="009F55E4" w:rsidRPr="00481C09">
        <w:rPr>
          <w:rFonts w:ascii="Rockwell" w:hAnsi="Rockwell"/>
        </w:rPr>
        <w:t>other</w:t>
      </w:r>
      <w:r w:rsidR="00E077E2" w:rsidRPr="00481C09">
        <w:rPr>
          <w:rFonts w:ascii="Rockwell" w:hAnsi="Rockwell"/>
        </w:rPr>
        <w:t xml:space="preserve"> demographic</w:t>
      </w:r>
      <w:r w:rsidR="009F55E4" w:rsidRPr="00481C09">
        <w:rPr>
          <w:rFonts w:ascii="Rockwell" w:hAnsi="Rockwell"/>
        </w:rPr>
        <w:t>,</w:t>
      </w:r>
      <w:r w:rsidR="00E077E2" w:rsidRPr="00481C09">
        <w:rPr>
          <w:rFonts w:ascii="Rockwell" w:hAnsi="Rockwell"/>
        </w:rPr>
        <w:t xml:space="preserve"> </w:t>
      </w:r>
      <w:r w:rsidR="009F55E4" w:rsidRPr="00481C09">
        <w:rPr>
          <w:rFonts w:ascii="Rockwell" w:hAnsi="Rockwell"/>
        </w:rPr>
        <w:t xml:space="preserve">that county wide </w:t>
      </w:r>
      <w:r w:rsidR="00E077E2" w:rsidRPr="00481C09">
        <w:rPr>
          <w:rFonts w:ascii="Rockwell" w:hAnsi="Rockwell"/>
        </w:rPr>
        <w:t xml:space="preserve">access </w:t>
      </w:r>
      <w:r w:rsidR="009F55E4" w:rsidRPr="00481C09">
        <w:rPr>
          <w:rFonts w:ascii="Rockwell" w:hAnsi="Rockwell"/>
        </w:rPr>
        <w:t>decreased</w:t>
      </w:r>
      <w:r w:rsidR="00E077E2" w:rsidRPr="00481C09">
        <w:rPr>
          <w:rFonts w:ascii="Rockwell" w:hAnsi="Rockwell"/>
        </w:rPr>
        <w:t xml:space="preserve"> or stay</w:t>
      </w:r>
      <w:r w:rsidR="00635614" w:rsidRPr="00481C09">
        <w:rPr>
          <w:rFonts w:ascii="Rockwell" w:hAnsi="Rockwell"/>
        </w:rPr>
        <w:t>ed</w:t>
      </w:r>
      <w:r w:rsidR="00E077E2" w:rsidRPr="00481C09">
        <w:rPr>
          <w:rFonts w:ascii="Rockwell" w:hAnsi="Rockwell"/>
        </w:rPr>
        <w:t xml:space="preserve"> constant </w:t>
      </w:r>
      <w:r w:rsidR="009F55E4" w:rsidRPr="00481C09">
        <w:rPr>
          <w:rFonts w:ascii="Rockwell" w:hAnsi="Rockwell"/>
        </w:rPr>
        <w:t xml:space="preserve">as </w:t>
      </w:r>
      <w:r w:rsidR="00E077E2" w:rsidRPr="00481C09">
        <w:rPr>
          <w:rFonts w:ascii="Rockwell" w:hAnsi="Rockwell"/>
        </w:rPr>
        <w:t>their population increase</w:t>
      </w:r>
      <w:r w:rsidR="009F55E4" w:rsidRPr="00481C09">
        <w:rPr>
          <w:rFonts w:ascii="Rockwell" w:hAnsi="Rockwell"/>
        </w:rPr>
        <w:t>d</w:t>
      </w:r>
      <w:r w:rsidR="00E077E2" w:rsidRPr="00481C09">
        <w:rPr>
          <w:rFonts w:ascii="Rockwell" w:hAnsi="Rockwell"/>
        </w:rPr>
        <w:t>.</w:t>
      </w:r>
      <w:r w:rsidR="009F55E4" w:rsidRPr="00481C09">
        <w:rPr>
          <w:rFonts w:ascii="Rockwell" w:hAnsi="Rockwell"/>
        </w:rPr>
        <w:t xml:space="preserve"> </w:t>
      </w:r>
      <w:r w:rsidR="006F4100" w:rsidRPr="00481C09">
        <w:rPr>
          <w:rFonts w:ascii="Rockwell" w:hAnsi="Rockwell"/>
        </w:rPr>
        <w:t>(</w:t>
      </w:r>
      <w:hyperlink r:id="rId12" w:history="1">
        <w:r w:rsidR="006F4100" w:rsidRPr="00481C09">
          <w:rPr>
            <w:rStyle w:val="Hyperlink"/>
            <w:rFonts w:ascii="Rockwell" w:hAnsi="Rockwell"/>
          </w:rPr>
          <w:t>see fig…)</w:t>
        </w:r>
      </w:hyperlink>
    </w:p>
    <w:p w14:paraId="70AF1AD0" w14:textId="77777777" w:rsidR="00B42BF5" w:rsidRPr="00481C09" w:rsidRDefault="00B42BF5">
      <w:pPr>
        <w:rPr>
          <w:rFonts w:ascii="Rockwell" w:hAnsi="Rockwell"/>
        </w:rPr>
      </w:pPr>
    </w:p>
    <w:p w14:paraId="55DD1884" w14:textId="77777777" w:rsidR="00E72263" w:rsidRPr="00481C09" w:rsidRDefault="00E72263">
      <w:pPr>
        <w:rPr>
          <w:rFonts w:ascii="Rockwell" w:hAnsi="Rockwell"/>
        </w:rPr>
      </w:pPr>
    </w:p>
    <w:p w14:paraId="2B70DA8B" w14:textId="7659D484" w:rsidR="00B42BF5" w:rsidRPr="00481C09" w:rsidRDefault="00B42BF5">
      <w:pPr>
        <w:rPr>
          <w:rFonts w:ascii="Rockwell" w:hAnsi="Rockwell"/>
        </w:rPr>
      </w:pPr>
      <w:r w:rsidRPr="00481C09">
        <w:rPr>
          <w:rFonts w:ascii="Rockwell" w:hAnsi="Rockwell"/>
        </w:rPr>
        <w:t>That said, the median percentage of access by race was highest in White communities and Latino populations, implying that while low access my increase as communities include more minorities, Whites and Latinos see the least amount of access that other groups</w:t>
      </w:r>
      <w:r w:rsidR="00102769" w:rsidRPr="00481C09">
        <w:rPr>
          <w:rFonts w:ascii="Rockwell" w:hAnsi="Rockwell"/>
        </w:rPr>
        <w:t xml:space="preserve"> on average in Northern California</w:t>
      </w:r>
      <w:r w:rsidRPr="00481C09">
        <w:rPr>
          <w:rFonts w:ascii="Rockwell" w:hAnsi="Rockwell"/>
        </w:rPr>
        <w:t xml:space="preserve">. </w:t>
      </w:r>
      <w:hyperlink r:id="rId13" w:history="1">
        <w:r w:rsidRPr="00481C09">
          <w:rPr>
            <w:rStyle w:val="Hyperlink"/>
            <w:rFonts w:ascii="Rockwell" w:hAnsi="Rockwell"/>
          </w:rPr>
          <w:t>(</w:t>
        </w:r>
        <w:proofErr w:type="gramStart"/>
        <w:r w:rsidR="0051494E" w:rsidRPr="00481C09">
          <w:rPr>
            <w:rStyle w:val="Hyperlink"/>
            <w:rFonts w:ascii="Rockwell" w:hAnsi="Rockwell"/>
          </w:rPr>
          <w:t>see</w:t>
        </w:r>
        <w:proofErr w:type="gramEnd"/>
        <w:r w:rsidR="0051494E" w:rsidRPr="00481C09">
          <w:rPr>
            <w:rStyle w:val="Hyperlink"/>
            <w:rFonts w:ascii="Rockwell" w:hAnsi="Rockwell"/>
          </w:rPr>
          <w:t xml:space="preserve"> fig…</w:t>
        </w:r>
        <w:r w:rsidRPr="00481C09">
          <w:rPr>
            <w:rStyle w:val="Hyperlink"/>
            <w:rFonts w:ascii="Rockwell" w:hAnsi="Rockwell"/>
          </w:rPr>
          <w:t>)</w:t>
        </w:r>
      </w:hyperlink>
    </w:p>
    <w:p w14:paraId="64742750" w14:textId="77777777" w:rsidR="00637DEF" w:rsidRPr="00481C09" w:rsidRDefault="00637DEF">
      <w:pPr>
        <w:rPr>
          <w:rFonts w:ascii="Rockwell" w:hAnsi="Rockwell"/>
          <w:sz w:val="28"/>
          <w:szCs w:val="28"/>
        </w:rPr>
      </w:pPr>
    </w:p>
    <w:p w14:paraId="5AEDF5E9" w14:textId="77777777" w:rsidR="00E72263" w:rsidRPr="00481C09" w:rsidRDefault="00E72263">
      <w:pPr>
        <w:rPr>
          <w:rFonts w:ascii="Rockwell" w:hAnsi="Rockwell"/>
          <w:sz w:val="28"/>
          <w:szCs w:val="28"/>
        </w:rPr>
      </w:pPr>
    </w:p>
    <w:p w14:paraId="2EC8C477" w14:textId="7A86043F" w:rsidR="007B6D9D" w:rsidRPr="00481C09" w:rsidRDefault="007B6D9D">
      <w:pPr>
        <w:rPr>
          <w:rFonts w:ascii="Rockwell" w:hAnsi="Rockwell"/>
        </w:rPr>
      </w:pPr>
      <w:r w:rsidRPr="00481C09">
        <w:rPr>
          <w:rFonts w:ascii="Rockwell" w:hAnsi="Rockwell"/>
        </w:rPr>
        <w:t xml:space="preserve">Communities with a larger share of seniors had a negative correlation with low access, which is a positive sign. However, communities with a higher concentration of children (under 18) had a moderate positive correlation to low access with an even more pronounced relationship in </w:t>
      </w:r>
      <w:r w:rsidR="00102769" w:rsidRPr="00481C09">
        <w:rPr>
          <w:rFonts w:ascii="Rockwell" w:hAnsi="Rockwell"/>
        </w:rPr>
        <w:t>low-income</w:t>
      </w:r>
      <w:r w:rsidRPr="00481C09">
        <w:rPr>
          <w:rFonts w:ascii="Rockwell" w:hAnsi="Rockwell"/>
        </w:rPr>
        <w:t xml:space="preserve"> areas, which is scary. </w:t>
      </w:r>
      <w:hyperlink r:id="rId14" w:history="1">
        <w:r w:rsidRPr="00481C09">
          <w:rPr>
            <w:rStyle w:val="Hyperlink"/>
            <w:rFonts w:ascii="Rockwell" w:hAnsi="Rockwell"/>
          </w:rPr>
          <w:t>(</w:t>
        </w:r>
        <w:proofErr w:type="gramStart"/>
        <w:r w:rsidR="009F55E4" w:rsidRPr="00481C09">
          <w:rPr>
            <w:rStyle w:val="Hyperlink"/>
            <w:rFonts w:ascii="Rockwell" w:hAnsi="Rockwell"/>
          </w:rPr>
          <w:t>see</w:t>
        </w:r>
        <w:proofErr w:type="gramEnd"/>
        <w:r w:rsidR="009F55E4" w:rsidRPr="00481C09">
          <w:rPr>
            <w:rStyle w:val="Hyperlink"/>
            <w:rFonts w:ascii="Rockwell" w:hAnsi="Rockwell"/>
          </w:rPr>
          <w:t xml:space="preserve"> fig…)</w:t>
        </w:r>
      </w:hyperlink>
    </w:p>
    <w:p w14:paraId="0806E0DE" w14:textId="77777777" w:rsidR="00102769" w:rsidRPr="00481C09" w:rsidRDefault="00102769">
      <w:pPr>
        <w:rPr>
          <w:rFonts w:ascii="Rockwell" w:hAnsi="Rockwell"/>
        </w:rPr>
      </w:pPr>
    </w:p>
    <w:p w14:paraId="6FA41F16" w14:textId="77777777" w:rsidR="00E72263" w:rsidRPr="00481C09" w:rsidRDefault="00E72263">
      <w:pPr>
        <w:rPr>
          <w:rFonts w:ascii="Rockwell" w:hAnsi="Rockwell"/>
        </w:rPr>
      </w:pPr>
    </w:p>
    <w:p w14:paraId="49550C7A" w14:textId="20C35224" w:rsidR="007B6D9D" w:rsidRPr="00481C09" w:rsidRDefault="00102769">
      <w:pPr>
        <w:rPr>
          <w:rFonts w:ascii="Rockwell" w:hAnsi="Rockwell"/>
        </w:rPr>
      </w:pPr>
      <w:r w:rsidRPr="00481C09">
        <w:rPr>
          <w:rFonts w:ascii="Rockwell" w:hAnsi="Rockwell"/>
        </w:rPr>
        <w:t xml:space="preserve">Where were found a very strong correlation is when we looked at change in access and change in </w:t>
      </w:r>
      <w:r w:rsidR="00CB1955" w:rsidRPr="00481C09">
        <w:rPr>
          <w:rFonts w:ascii="Rockwell" w:hAnsi="Rockwell"/>
        </w:rPr>
        <w:t>low-income</w:t>
      </w:r>
      <w:r w:rsidRPr="00481C09">
        <w:rPr>
          <w:rFonts w:ascii="Rockwell" w:hAnsi="Rockwell"/>
        </w:rPr>
        <w:t xml:space="preserve"> population. As the percentage of low access population increased, so did the population of low-income communities with low access. While this may seem obvious, it is important to point out that the changes are strongest in in places where money is in shorter supply</w:t>
      </w:r>
      <w:r w:rsidR="004A3E30" w:rsidRPr="00481C09">
        <w:rPr>
          <w:rFonts w:ascii="Rockwell" w:hAnsi="Rockwell"/>
        </w:rPr>
        <w:t>.</w:t>
      </w:r>
      <w:r w:rsidR="00CB1955" w:rsidRPr="00481C09">
        <w:rPr>
          <w:rFonts w:ascii="Rockwell" w:hAnsi="Rockwell"/>
        </w:rPr>
        <w:t xml:space="preserve"> It is noteworthy that access to healthy food is poorest in areas with the highest income security, which underscores the need for policy interventions aimed at improving access to healthy food for all.</w:t>
      </w:r>
      <w:hyperlink r:id="rId15" w:history="1">
        <w:r w:rsidR="00CB1955" w:rsidRPr="00481C09">
          <w:rPr>
            <w:rStyle w:val="Hyperlink"/>
            <w:rFonts w:ascii="Rockwell" w:hAnsi="Rockwell"/>
          </w:rPr>
          <w:t xml:space="preserve"> (</w:t>
        </w:r>
        <w:r w:rsidR="004A3E30" w:rsidRPr="00481C09">
          <w:rPr>
            <w:rStyle w:val="Hyperlink"/>
            <w:rFonts w:ascii="Rockwell" w:hAnsi="Rockwell"/>
          </w:rPr>
          <w:t>see</w:t>
        </w:r>
        <w:r w:rsidR="00CB1955" w:rsidRPr="00481C09">
          <w:rPr>
            <w:rStyle w:val="Hyperlink"/>
            <w:rFonts w:ascii="Rockwell" w:hAnsi="Rockwell"/>
          </w:rPr>
          <w:t xml:space="preserve"> fig</w:t>
        </w:r>
        <w:r w:rsidR="004A3E30" w:rsidRPr="00481C09">
          <w:rPr>
            <w:rStyle w:val="Hyperlink"/>
            <w:rFonts w:ascii="Rockwell" w:hAnsi="Rockwell"/>
          </w:rPr>
          <w:t>…</w:t>
        </w:r>
        <w:r w:rsidR="00CB1955" w:rsidRPr="00481C09">
          <w:rPr>
            <w:rStyle w:val="Hyperlink"/>
            <w:rFonts w:ascii="Rockwell" w:hAnsi="Rockwell"/>
          </w:rPr>
          <w:t>)</w:t>
        </w:r>
      </w:hyperlink>
    </w:p>
    <w:p w14:paraId="6A281EEA" w14:textId="77777777" w:rsidR="00CB1955" w:rsidRPr="00481C09" w:rsidRDefault="00CB1955">
      <w:pPr>
        <w:rPr>
          <w:rFonts w:ascii="Rockwell" w:hAnsi="Rockwell"/>
          <w:sz w:val="28"/>
          <w:szCs w:val="28"/>
        </w:rPr>
      </w:pPr>
    </w:p>
    <w:p w14:paraId="4FADFB69" w14:textId="77777777" w:rsidR="00E72263" w:rsidRPr="00481C09" w:rsidRDefault="00E72263">
      <w:pPr>
        <w:rPr>
          <w:rFonts w:ascii="Rockwell" w:hAnsi="Rockwell"/>
          <w:sz w:val="28"/>
          <w:szCs w:val="28"/>
        </w:rPr>
      </w:pPr>
    </w:p>
    <w:p w14:paraId="1F155FC9" w14:textId="74A57348" w:rsidR="00B42BF5" w:rsidRDefault="00B42BF5">
      <w:pPr>
        <w:rPr>
          <w:rFonts w:ascii="Rockwell" w:hAnsi="Rockwell"/>
          <w:i/>
          <w:iCs/>
        </w:rPr>
      </w:pPr>
      <w:r w:rsidRPr="00481C09">
        <w:rPr>
          <w:rFonts w:ascii="Rockwell" w:hAnsi="Rockwell"/>
          <w:i/>
          <w:iCs/>
        </w:rPr>
        <w:t>Health</w:t>
      </w:r>
    </w:p>
    <w:p w14:paraId="27C297B7" w14:textId="77777777" w:rsidR="00481C09" w:rsidRPr="00481C09" w:rsidRDefault="00481C09">
      <w:pPr>
        <w:rPr>
          <w:rFonts w:ascii="Rockwell" w:hAnsi="Rockwell"/>
          <w:i/>
          <w:iCs/>
        </w:rPr>
      </w:pPr>
    </w:p>
    <w:p w14:paraId="7D309725" w14:textId="0B56EE47" w:rsidR="00E72263" w:rsidRPr="00481C09" w:rsidRDefault="00B42BF5">
      <w:pPr>
        <w:rPr>
          <w:rFonts w:ascii="Rockwell" w:hAnsi="Rockwell"/>
        </w:rPr>
      </w:pPr>
      <w:r w:rsidRPr="00481C09">
        <w:rPr>
          <w:rFonts w:ascii="Rockwell" w:hAnsi="Rockwell"/>
        </w:rPr>
        <w:t xml:space="preserve">Interestingly, we did not see much of a correlation between health indicators such </w:t>
      </w:r>
      <w:r w:rsidR="006330BD">
        <w:rPr>
          <w:rFonts w:ascii="Rockwell" w:hAnsi="Rockwell"/>
        </w:rPr>
        <w:t xml:space="preserve">as </w:t>
      </w:r>
      <w:r w:rsidRPr="00481C09">
        <w:rPr>
          <w:rFonts w:ascii="Rockwell" w:hAnsi="Rockwell"/>
        </w:rPr>
        <w:t>diabetes and low access. The regions in Northern California compare favorably to access able data for the US, where low access is linked to increases in those indicators.</w:t>
      </w:r>
      <w:r w:rsidRPr="00481C09">
        <w:rPr>
          <w:rStyle w:val="FootnoteReference"/>
          <w:rFonts w:ascii="Rockwell" w:hAnsi="Rockwell"/>
        </w:rPr>
        <w:footnoteReference w:id="2"/>
      </w:r>
      <w:r w:rsidR="00E72263" w:rsidRPr="00481C09">
        <w:rPr>
          <w:rFonts w:ascii="Rockwell" w:hAnsi="Rockwell"/>
        </w:rPr>
        <w:t xml:space="preserve"> (see fig…)</w:t>
      </w:r>
    </w:p>
    <w:p w14:paraId="7942AD3A" w14:textId="77777777" w:rsidR="00E72263" w:rsidRPr="00481C09" w:rsidRDefault="00E72263">
      <w:pPr>
        <w:rPr>
          <w:rFonts w:ascii="Rockwell" w:hAnsi="Rockwell"/>
        </w:rPr>
      </w:pPr>
    </w:p>
    <w:p w14:paraId="6C804D19" w14:textId="77777777" w:rsidR="003E6CA2" w:rsidRPr="00481C09" w:rsidRDefault="003E6CA2">
      <w:pPr>
        <w:rPr>
          <w:rFonts w:ascii="Rockwell" w:hAnsi="Rockwell"/>
        </w:rPr>
      </w:pPr>
    </w:p>
    <w:p w14:paraId="67EC1978" w14:textId="72E81301" w:rsidR="00B42BF5" w:rsidRPr="00481C09" w:rsidRDefault="00E72263">
      <w:pPr>
        <w:rPr>
          <w:rFonts w:ascii="Rockwell" w:hAnsi="Rockwell"/>
        </w:rPr>
      </w:pPr>
      <w:r w:rsidRPr="00481C09">
        <w:rPr>
          <w:rFonts w:ascii="Rockwell" w:hAnsi="Rockwell"/>
        </w:rPr>
        <w:t>W</w:t>
      </w:r>
      <w:r w:rsidR="00220449" w:rsidRPr="00481C09">
        <w:rPr>
          <w:rFonts w:ascii="Rockwell" w:hAnsi="Rockwell"/>
        </w:rPr>
        <w:t xml:space="preserve">e expected more positive correlation between low access and a </w:t>
      </w:r>
      <w:r w:rsidR="001E08E7" w:rsidRPr="00481C09">
        <w:rPr>
          <w:rFonts w:ascii="Rockwell" w:hAnsi="Rockwell"/>
        </w:rPr>
        <w:t>negative health indicator</w:t>
      </w:r>
      <w:r w:rsidR="00220449" w:rsidRPr="00481C09">
        <w:rPr>
          <w:rFonts w:ascii="Rockwell" w:hAnsi="Rockwell"/>
        </w:rPr>
        <w:t xml:space="preserve">, </w:t>
      </w:r>
      <w:r w:rsidR="001E08E7" w:rsidRPr="00481C09">
        <w:rPr>
          <w:rFonts w:ascii="Rockwell" w:hAnsi="Rockwell"/>
        </w:rPr>
        <w:t xml:space="preserve">diabetes, </w:t>
      </w:r>
      <w:r w:rsidRPr="00481C09">
        <w:rPr>
          <w:rFonts w:ascii="Rockwell" w:hAnsi="Rockwell"/>
        </w:rPr>
        <w:t>but what we found was a moderate correlation between household income and diabetes. (</w:t>
      </w:r>
      <w:proofErr w:type="gramStart"/>
      <w:r w:rsidRPr="00481C09">
        <w:rPr>
          <w:rFonts w:ascii="Rockwell" w:hAnsi="Rockwell"/>
        </w:rPr>
        <w:t>see</w:t>
      </w:r>
      <w:proofErr w:type="gramEnd"/>
      <w:r w:rsidRPr="00481C09">
        <w:rPr>
          <w:rFonts w:ascii="Rockwell" w:hAnsi="Rockwell"/>
        </w:rPr>
        <w:t xml:space="preserve"> fig…) </w:t>
      </w:r>
    </w:p>
    <w:p w14:paraId="038B806F" w14:textId="77777777" w:rsidR="00B42BF5" w:rsidRPr="00481C09" w:rsidRDefault="00B42BF5">
      <w:pPr>
        <w:rPr>
          <w:rFonts w:ascii="Rockwell" w:hAnsi="Rockwell"/>
        </w:rPr>
      </w:pPr>
    </w:p>
    <w:p w14:paraId="28663E63" w14:textId="77777777" w:rsidR="00E72263" w:rsidRPr="00481C09" w:rsidRDefault="00E72263">
      <w:pPr>
        <w:rPr>
          <w:rFonts w:ascii="Rockwell" w:hAnsi="Rockwell"/>
        </w:rPr>
      </w:pPr>
    </w:p>
    <w:p w14:paraId="40AF5158" w14:textId="4F9A61CC" w:rsidR="00B42BF5" w:rsidRDefault="00B42BF5">
      <w:pPr>
        <w:rPr>
          <w:rFonts w:ascii="Rockwell" w:hAnsi="Rockwell"/>
          <w:i/>
          <w:iCs/>
        </w:rPr>
      </w:pPr>
      <w:r w:rsidRPr="00481C09">
        <w:rPr>
          <w:rFonts w:ascii="Rockwell" w:hAnsi="Rockwell"/>
          <w:i/>
          <w:iCs/>
        </w:rPr>
        <w:t>Rural v. Metro</w:t>
      </w:r>
    </w:p>
    <w:p w14:paraId="79CA41D8" w14:textId="77777777" w:rsidR="00481C09" w:rsidRPr="00481C09" w:rsidRDefault="00481C09">
      <w:pPr>
        <w:rPr>
          <w:rFonts w:ascii="Rockwell" w:hAnsi="Rockwell"/>
          <w:i/>
          <w:iCs/>
        </w:rPr>
      </w:pPr>
    </w:p>
    <w:p w14:paraId="20D9D0E8" w14:textId="77777777" w:rsidR="00632777" w:rsidRPr="00481C09" w:rsidRDefault="00102769" w:rsidP="00B42BF5">
      <w:pPr>
        <w:rPr>
          <w:rFonts w:ascii="Rockwell" w:hAnsi="Rockwell"/>
        </w:rPr>
      </w:pPr>
      <w:r w:rsidRPr="00481C09">
        <w:rPr>
          <w:rFonts w:ascii="Rockwell" w:hAnsi="Rockwell"/>
        </w:rPr>
        <w:t xml:space="preserve">We </w:t>
      </w:r>
      <w:r w:rsidR="00B42BF5" w:rsidRPr="00481C09">
        <w:rPr>
          <w:rFonts w:ascii="Rockwell" w:hAnsi="Rockwell"/>
        </w:rPr>
        <w:t xml:space="preserve">found a moderate correlation </w:t>
      </w:r>
      <w:r w:rsidR="003E674A" w:rsidRPr="00481C09">
        <w:rPr>
          <w:rFonts w:ascii="Rockwell" w:hAnsi="Rockwell"/>
        </w:rPr>
        <w:t xml:space="preserve">with a low p-values </w:t>
      </w:r>
      <w:r w:rsidR="00B42BF5" w:rsidRPr="00481C09">
        <w:rPr>
          <w:rFonts w:ascii="Rockwell" w:hAnsi="Rockwell"/>
        </w:rPr>
        <w:t>between counties with population loss and an increase in low access scores.</w:t>
      </w:r>
      <w:r w:rsidR="00632777" w:rsidRPr="00481C09">
        <w:rPr>
          <w:rFonts w:ascii="Rockwell" w:hAnsi="Rockwell"/>
        </w:rPr>
        <w:t xml:space="preserve"> </w:t>
      </w:r>
      <w:hyperlink r:id="rId16" w:history="1">
        <w:r w:rsidR="00632777" w:rsidRPr="00481C09">
          <w:rPr>
            <w:rStyle w:val="Hyperlink"/>
            <w:rFonts w:ascii="Rockwell" w:hAnsi="Rockwell"/>
          </w:rPr>
          <w:t>(</w:t>
        </w:r>
        <w:proofErr w:type="gramStart"/>
        <w:r w:rsidR="00632777" w:rsidRPr="00481C09">
          <w:rPr>
            <w:rStyle w:val="Hyperlink"/>
            <w:rFonts w:ascii="Rockwell" w:hAnsi="Rockwell"/>
          </w:rPr>
          <w:t>see</w:t>
        </w:r>
        <w:proofErr w:type="gramEnd"/>
        <w:r w:rsidR="00632777" w:rsidRPr="00481C09">
          <w:rPr>
            <w:rStyle w:val="Hyperlink"/>
            <w:rFonts w:ascii="Rockwell" w:hAnsi="Rockwell"/>
          </w:rPr>
          <w:t xml:space="preserve"> fig..)</w:t>
        </w:r>
      </w:hyperlink>
    </w:p>
    <w:p w14:paraId="55357AA4" w14:textId="77777777" w:rsidR="00632777" w:rsidRPr="00481C09" w:rsidRDefault="00632777" w:rsidP="00B42BF5">
      <w:pPr>
        <w:rPr>
          <w:rFonts w:ascii="Rockwell" w:hAnsi="Rockwell"/>
        </w:rPr>
      </w:pPr>
    </w:p>
    <w:p w14:paraId="495337E2" w14:textId="77777777" w:rsidR="003E6CA2" w:rsidRPr="00481C09" w:rsidRDefault="003E6CA2" w:rsidP="00B42BF5">
      <w:pPr>
        <w:rPr>
          <w:rFonts w:ascii="Rockwell" w:hAnsi="Rockwell"/>
        </w:rPr>
      </w:pPr>
    </w:p>
    <w:p w14:paraId="73B782AB" w14:textId="5F2356B2" w:rsidR="00632777" w:rsidRPr="00481C09" w:rsidRDefault="00B42BF5" w:rsidP="00B42BF5">
      <w:pPr>
        <w:rPr>
          <w:rFonts w:ascii="Rockwell" w:hAnsi="Rockwell"/>
        </w:rPr>
      </w:pPr>
      <w:r w:rsidRPr="00481C09">
        <w:rPr>
          <w:rFonts w:ascii="Rockwell" w:hAnsi="Rockwell"/>
        </w:rPr>
        <w:t xml:space="preserve">In addition, </w:t>
      </w:r>
      <w:r w:rsidR="003C45B5" w:rsidRPr="00481C09">
        <w:rPr>
          <w:rFonts w:ascii="Rockwell" w:hAnsi="Rockwell"/>
        </w:rPr>
        <w:t xml:space="preserve">there was </w:t>
      </w:r>
      <w:r w:rsidRPr="00481C09">
        <w:rPr>
          <w:rFonts w:ascii="Rockwell" w:hAnsi="Rockwell"/>
        </w:rPr>
        <w:t>a moderate correlation</w:t>
      </w:r>
      <w:r w:rsidR="003E674A" w:rsidRPr="00481C09">
        <w:rPr>
          <w:rFonts w:ascii="Rockwell" w:hAnsi="Rockwell"/>
        </w:rPr>
        <w:t xml:space="preserve"> with a low p-value</w:t>
      </w:r>
      <w:r w:rsidRPr="00481C09">
        <w:rPr>
          <w:rFonts w:ascii="Rockwell" w:hAnsi="Rockwell"/>
        </w:rPr>
        <w:t xml:space="preserve"> between the population</w:t>
      </w:r>
      <w:r w:rsidR="00E32EAC" w:rsidRPr="00481C09">
        <w:rPr>
          <w:rFonts w:ascii="Rockwell" w:hAnsi="Rockwell"/>
        </w:rPr>
        <w:t xml:space="preserve"> totals</w:t>
      </w:r>
      <w:r w:rsidRPr="00481C09">
        <w:rPr>
          <w:rFonts w:ascii="Rockwell" w:hAnsi="Rockwell"/>
        </w:rPr>
        <w:t xml:space="preserve"> and change in low access.  </w:t>
      </w:r>
      <w:r w:rsidR="00E32EAC" w:rsidRPr="00481C09">
        <w:rPr>
          <w:rFonts w:ascii="Rockwell" w:hAnsi="Rockwell"/>
        </w:rPr>
        <w:t xml:space="preserve">This suggests, that while there are still plenty of communities facing low access to healthy foods in metro areas, rural areas have tended to see the greatest negative impacts of changes over the past decades. </w:t>
      </w:r>
    </w:p>
    <w:p w14:paraId="2F3F7640" w14:textId="018E64E4" w:rsidR="00B42BF5" w:rsidRPr="00481C09" w:rsidRDefault="00000000" w:rsidP="00B42BF5">
      <w:pPr>
        <w:rPr>
          <w:rFonts w:ascii="Rockwell" w:hAnsi="Rockwell"/>
        </w:rPr>
      </w:pPr>
      <w:hyperlink r:id="rId17" w:history="1">
        <w:r w:rsidR="00632777" w:rsidRPr="00481C09">
          <w:rPr>
            <w:rStyle w:val="Hyperlink"/>
            <w:rFonts w:ascii="Rockwell" w:hAnsi="Rockwell"/>
          </w:rPr>
          <w:t>(</w:t>
        </w:r>
        <w:proofErr w:type="gramStart"/>
        <w:r w:rsidR="00632777" w:rsidRPr="00481C09">
          <w:rPr>
            <w:rStyle w:val="Hyperlink"/>
            <w:rFonts w:ascii="Rockwell" w:hAnsi="Rockwell"/>
          </w:rPr>
          <w:t>see</w:t>
        </w:r>
        <w:proofErr w:type="gramEnd"/>
        <w:r w:rsidR="00632777" w:rsidRPr="00481C09">
          <w:rPr>
            <w:rStyle w:val="Hyperlink"/>
            <w:rFonts w:ascii="Rockwell" w:hAnsi="Rockwell"/>
          </w:rPr>
          <w:t xml:space="preserve"> fig...)</w:t>
        </w:r>
      </w:hyperlink>
    </w:p>
    <w:p w14:paraId="30A83E02" w14:textId="77777777" w:rsidR="00B42BF5" w:rsidRPr="00481C09" w:rsidRDefault="00B42BF5" w:rsidP="00B42BF5">
      <w:pPr>
        <w:rPr>
          <w:rFonts w:ascii="Rockwell" w:hAnsi="Rockwell"/>
        </w:rPr>
      </w:pPr>
    </w:p>
    <w:p w14:paraId="7BE15DC9" w14:textId="77777777" w:rsidR="005F04A7" w:rsidRPr="00481C09" w:rsidRDefault="005F04A7">
      <w:pPr>
        <w:rPr>
          <w:rFonts w:ascii="Rockwell" w:hAnsi="Rockwell"/>
          <w:sz w:val="28"/>
          <w:szCs w:val="28"/>
        </w:rPr>
      </w:pPr>
    </w:p>
    <w:p w14:paraId="75E88421" w14:textId="45365277" w:rsidR="0051494E" w:rsidRPr="00481C09" w:rsidRDefault="0051494E" w:rsidP="0051494E">
      <w:pPr>
        <w:rPr>
          <w:rFonts w:ascii="Rockwell" w:hAnsi="Rockwell"/>
        </w:rPr>
      </w:pPr>
      <w:r w:rsidRPr="00481C09">
        <w:rPr>
          <w:rFonts w:ascii="Rockwell" w:hAnsi="Rockwell"/>
        </w:rPr>
        <w:lastRenderedPageBreak/>
        <w:t>In rural counties, grocery stores tended to be clustered around populated areas and resulted in long drives for people living off less populated roads. In Calaveras, where we saw the greatest increase in low access, you can see this illustrated in the two maps below.</w:t>
      </w:r>
    </w:p>
    <w:p w14:paraId="05581BFD" w14:textId="77777777" w:rsidR="00E72263" w:rsidRPr="00481C09" w:rsidRDefault="00E72263" w:rsidP="0051494E">
      <w:pPr>
        <w:rPr>
          <w:rFonts w:ascii="Rockwell" w:hAnsi="Rockwell"/>
        </w:rPr>
      </w:pPr>
    </w:p>
    <w:p w14:paraId="349C684F" w14:textId="77777777" w:rsidR="004A3E30" w:rsidRPr="00481C09" w:rsidRDefault="004A3E30" w:rsidP="0051494E">
      <w:pPr>
        <w:rPr>
          <w:rFonts w:ascii="Rockwell" w:hAnsi="Rockwell"/>
        </w:rPr>
      </w:pPr>
    </w:p>
    <w:p w14:paraId="240071F8" w14:textId="10945083" w:rsidR="0051494E" w:rsidRPr="00481C09" w:rsidRDefault="00000000" w:rsidP="0051494E">
      <w:pPr>
        <w:rPr>
          <w:rFonts w:ascii="Rockwell" w:hAnsi="Rockwell"/>
        </w:rPr>
      </w:pPr>
      <w:hyperlink r:id="rId18" w:history="1">
        <w:r w:rsidR="0051494E" w:rsidRPr="00481C09">
          <w:rPr>
            <w:rStyle w:val="Hyperlink"/>
            <w:rFonts w:ascii="Rockwell" w:hAnsi="Rockwell"/>
          </w:rPr>
          <w:t>Map 1</w:t>
        </w:r>
      </w:hyperlink>
      <w:r w:rsidR="00632777" w:rsidRPr="00481C09">
        <w:rPr>
          <w:rFonts w:ascii="Rockwell" w:hAnsi="Rockwell"/>
        </w:rPr>
        <w:t xml:space="preserve">: </w:t>
      </w:r>
      <w:proofErr w:type="spellStart"/>
      <w:r w:rsidR="00632777" w:rsidRPr="00481C09">
        <w:rPr>
          <w:rFonts w:ascii="Rockwell" w:hAnsi="Rockwell"/>
        </w:rPr>
        <w:t>Calveras</w:t>
      </w:r>
      <w:proofErr w:type="spellEnd"/>
      <w:r w:rsidR="00632777" w:rsidRPr="00481C09">
        <w:rPr>
          <w:rFonts w:ascii="Rockwell" w:hAnsi="Rockwell"/>
        </w:rPr>
        <w:t xml:space="preserve"> County with all its supermarkets and superstores, terrain and roads.</w:t>
      </w:r>
    </w:p>
    <w:p w14:paraId="5983AA43" w14:textId="77777777" w:rsidR="00632777" w:rsidRPr="00481C09" w:rsidRDefault="00632777" w:rsidP="0051494E">
      <w:pPr>
        <w:rPr>
          <w:rFonts w:ascii="Rockwell" w:hAnsi="Rockwell"/>
        </w:rPr>
      </w:pPr>
    </w:p>
    <w:p w14:paraId="51D85D6C" w14:textId="24E17148" w:rsidR="0051494E" w:rsidRPr="00481C09" w:rsidRDefault="00000000" w:rsidP="0051494E">
      <w:pPr>
        <w:rPr>
          <w:rFonts w:ascii="Rockwell" w:hAnsi="Rockwell"/>
        </w:rPr>
      </w:pPr>
      <w:hyperlink r:id="rId19" w:history="1">
        <w:r w:rsidR="0051494E" w:rsidRPr="00481C09">
          <w:rPr>
            <w:rStyle w:val="Hyperlink"/>
            <w:rFonts w:ascii="Rockwell" w:hAnsi="Rockwell"/>
          </w:rPr>
          <w:t>Map 2</w:t>
        </w:r>
      </w:hyperlink>
      <w:r w:rsidR="00632777" w:rsidRPr="00481C09">
        <w:rPr>
          <w:rFonts w:ascii="Rockwell" w:hAnsi="Rockwell"/>
        </w:rPr>
        <w:t xml:space="preserve">: </w:t>
      </w:r>
      <w:proofErr w:type="spellStart"/>
      <w:r w:rsidR="00632777" w:rsidRPr="00481C09">
        <w:rPr>
          <w:rFonts w:ascii="Rockwell" w:hAnsi="Rockwell"/>
        </w:rPr>
        <w:t>Calveras</w:t>
      </w:r>
      <w:proofErr w:type="spellEnd"/>
      <w:r w:rsidR="00632777" w:rsidRPr="00481C09">
        <w:rPr>
          <w:rFonts w:ascii="Rockwell" w:hAnsi="Rockwell"/>
        </w:rPr>
        <w:t xml:space="preserve"> County and all its supermarkets and superstores, borders, and roads.</w:t>
      </w:r>
    </w:p>
    <w:p w14:paraId="6122B812" w14:textId="77777777" w:rsidR="00E72263" w:rsidRPr="00481C09" w:rsidRDefault="00E72263">
      <w:pPr>
        <w:rPr>
          <w:rFonts w:ascii="Rockwell" w:hAnsi="Rockwell"/>
          <w:sz w:val="28"/>
          <w:szCs w:val="28"/>
        </w:rPr>
      </w:pPr>
    </w:p>
    <w:p w14:paraId="770DA4A8" w14:textId="77777777" w:rsidR="003E6CA2" w:rsidRPr="00481C09" w:rsidRDefault="003E6CA2">
      <w:pPr>
        <w:rPr>
          <w:rFonts w:ascii="Rockwell" w:hAnsi="Rockwell"/>
          <w:sz w:val="28"/>
          <w:szCs w:val="28"/>
        </w:rPr>
      </w:pPr>
    </w:p>
    <w:p w14:paraId="677F00CE" w14:textId="7902551B" w:rsidR="005F04A7" w:rsidRPr="00481C09" w:rsidRDefault="00632777">
      <w:pPr>
        <w:rPr>
          <w:rFonts w:ascii="Rockwell" w:hAnsi="Rockwell"/>
        </w:rPr>
      </w:pPr>
      <w:r w:rsidRPr="00481C09">
        <w:rPr>
          <w:rFonts w:ascii="Rockwell" w:hAnsi="Rockwell"/>
        </w:rPr>
        <w:t>In both maps, you</w:t>
      </w:r>
      <w:r w:rsidR="004A3E30" w:rsidRPr="00481C09">
        <w:rPr>
          <w:rFonts w:ascii="Rockwell" w:hAnsi="Rockwell"/>
        </w:rPr>
        <w:t xml:space="preserve"> can clearly see large chunks of Calaveras County where there are roads, even relatively well traveled roads, and no grocery stores</w:t>
      </w:r>
      <w:r w:rsidRPr="00481C09">
        <w:rPr>
          <w:rFonts w:ascii="Rockwell" w:hAnsi="Rockwell"/>
        </w:rPr>
        <w:t xml:space="preserve"> for miles</w:t>
      </w:r>
      <w:r w:rsidR="004A3E30" w:rsidRPr="00481C09">
        <w:rPr>
          <w:rFonts w:ascii="Rockwell" w:hAnsi="Rockwell"/>
        </w:rPr>
        <w:t xml:space="preserve">. </w:t>
      </w:r>
    </w:p>
    <w:p w14:paraId="48B06AB0" w14:textId="77777777" w:rsidR="004A3E30" w:rsidRPr="00481C09" w:rsidRDefault="004A3E30">
      <w:pPr>
        <w:rPr>
          <w:rFonts w:ascii="Rockwell" w:hAnsi="Rockwell"/>
          <w:sz w:val="28"/>
          <w:szCs w:val="28"/>
        </w:rPr>
      </w:pPr>
    </w:p>
    <w:p w14:paraId="09E4D28D" w14:textId="77777777" w:rsidR="003E6CA2" w:rsidRPr="00481C09" w:rsidRDefault="003E6CA2">
      <w:pPr>
        <w:rPr>
          <w:rFonts w:ascii="Rockwell" w:hAnsi="Rockwell"/>
          <w:sz w:val="28"/>
          <w:szCs w:val="28"/>
        </w:rPr>
      </w:pPr>
    </w:p>
    <w:p w14:paraId="399D9C3D" w14:textId="6172BDB6" w:rsidR="003F42C6" w:rsidRPr="00481C09" w:rsidRDefault="00BE7137">
      <w:pPr>
        <w:rPr>
          <w:rFonts w:ascii="Rockwell" w:hAnsi="Rockwell"/>
          <w:sz w:val="28"/>
          <w:szCs w:val="28"/>
        </w:rPr>
      </w:pPr>
      <w:r w:rsidRPr="00481C09">
        <w:rPr>
          <w:rFonts w:ascii="Rockwell" w:hAnsi="Rockwell"/>
          <w:sz w:val="28"/>
          <w:szCs w:val="28"/>
        </w:rPr>
        <w:t>Conclusion</w:t>
      </w:r>
      <w:r w:rsidR="00AD088C" w:rsidRPr="00481C09">
        <w:rPr>
          <w:rFonts w:ascii="Rockwell" w:hAnsi="Rockwell"/>
          <w:sz w:val="28"/>
          <w:szCs w:val="28"/>
        </w:rPr>
        <w:t>:</w:t>
      </w:r>
    </w:p>
    <w:p w14:paraId="33F424CD" w14:textId="77777777" w:rsidR="003F42C6" w:rsidRPr="00481C09" w:rsidRDefault="003F42C6">
      <w:pPr>
        <w:rPr>
          <w:rFonts w:ascii="Rockwell" w:hAnsi="Rockwell"/>
          <w:sz w:val="28"/>
          <w:szCs w:val="28"/>
        </w:rPr>
      </w:pPr>
    </w:p>
    <w:p w14:paraId="379C42FB" w14:textId="24075DC9" w:rsidR="00FA52CE" w:rsidRPr="00481C09" w:rsidRDefault="003F42C6">
      <w:pPr>
        <w:rPr>
          <w:rFonts w:ascii="Rockwell" w:hAnsi="Rockwell"/>
        </w:rPr>
      </w:pPr>
      <w:r w:rsidRPr="00481C09">
        <w:rPr>
          <w:rFonts w:ascii="Rockwell" w:hAnsi="Rockwell"/>
        </w:rPr>
        <w:t xml:space="preserve">In conclusion, while </w:t>
      </w:r>
      <w:r w:rsidR="00D57DAD" w:rsidRPr="00481C09">
        <w:rPr>
          <w:rFonts w:ascii="Rockwell" w:hAnsi="Rockwell"/>
        </w:rPr>
        <w:t xml:space="preserve">the </w:t>
      </w:r>
      <w:r w:rsidR="002E0B7A" w:rsidRPr="00481C09">
        <w:rPr>
          <w:rFonts w:ascii="Rockwell" w:hAnsi="Rockwell"/>
        </w:rPr>
        <w:t>Northern</w:t>
      </w:r>
      <w:r w:rsidRPr="00481C09">
        <w:rPr>
          <w:rFonts w:ascii="Rockwell" w:hAnsi="Rockwell"/>
        </w:rPr>
        <w:t xml:space="preserve"> California</w:t>
      </w:r>
      <w:r w:rsidR="00ED279D" w:rsidRPr="00481C09">
        <w:rPr>
          <w:rFonts w:ascii="Rockwell" w:hAnsi="Rockwell"/>
        </w:rPr>
        <w:t>n</w:t>
      </w:r>
      <w:r w:rsidR="00D57DAD" w:rsidRPr="00481C09">
        <w:rPr>
          <w:rFonts w:ascii="Rockwell" w:hAnsi="Rockwell"/>
        </w:rPr>
        <w:t xml:space="preserve"> regions explored in our analysis</w:t>
      </w:r>
      <w:r w:rsidRPr="00481C09">
        <w:rPr>
          <w:rFonts w:ascii="Rockwell" w:hAnsi="Rockwell"/>
        </w:rPr>
        <w:t xml:space="preserve"> </w:t>
      </w:r>
      <w:r w:rsidR="00ED279D" w:rsidRPr="00481C09">
        <w:rPr>
          <w:rFonts w:ascii="Rockwell" w:hAnsi="Rockwell"/>
        </w:rPr>
        <w:t>have</w:t>
      </w:r>
      <w:r w:rsidRPr="00481C09">
        <w:rPr>
          <w:rFonts w:ascii="Rockwell" w:hAnsi="Rockwell"/>
        </w:rPr>
        <w:t xml:space="preserve"> seen gains in access to healthy option, most of the gains have been see in </w:t>
      </w:r>
      <w:r w:rsidR="00D22120" w:rsidRPr="00481C09">
        <w:rPr>
          <w:rFonts w:ascii="Rockwell" w:hAnsi="Rockwell"/>
        </w:rPr>
        <w:t xml:space="preserve">more metropolitan areas. San Francisco County for example has seen a monster increase in access, so much so that in </w:t>
      </w:r>
      <w:r w:rsidR="00D57DAD" w:rsidRPr="00481C09">
        <w:rPr>
          <w:rFonts w:ascii="Rockwell" w:hAnsi="Rockwell"/>
        </w:rPr>
        <w:t>much</w:t>
      </w:r>
      <w:r w:rsidR="00D22120" w:rsidRPr="00481C09">
        <w:rPr>
          <w:rFonts w:ascii="Rockwell" w:hAnsi="Rockwell"/>
        </w:rPr>
        <w:t xml:space="preserve"> of our </w:t>
      </w:r>
      <w:r w:rsidR="00D57DAD" w:rsidRPr="00481C09">
        <w:rPr>
          <w:rFonts w:ascii="Rockwell" w:hAnsi="Rockwell"/>
        </w:rPr>
        <w:t>analysis</w:t>
      </w:r>
      <w:r w:rsidR="00D22120" w:rsidRPr="00481C09">
        <w:rPr>
          <w:rFonts w:ascii="Rockwell" w:hAnsi="Rockwell"/>
        </w:rPr>
        <w:t xml:space="preserve"> we had to remove it as an outlier. Alameda County, which has a large minority population, saw gains in access as well. In counties with increasing populations and </w:t>
      </w:r>
      <w:r w:rsidR="00D57DAD" w:rsidRPr="00481C09">
        <w:rPr>
          <w:rFonts w:ascii="Rockwell" w:hAnsi="Rockwell"/>
        </w:rPr>
        <w:t>higher</w:t>
      </w:r>
      <w:r w:rsidR="00D22120" w:rsidRPr="00481C09">
        <w:rPr>
          <w:rFonts w:ascii="Rockwell" w:hAnsi="Rockwell"/>
        </w:rPr>
        <w:t xml:space="preserve"> income</w:t>
      </w:r>
      <w:r w:rsidR="00D57DAD" w:rsidRPr="00481C09">
        <w:rPr>
          <w:rFonts w:ascii="Rockwell" w:hAnsi="Rockwell"/>
        </w:rPr>
        <w:t>s</w:t>
      </w:r>
      <w:r w:rsidR="00D22120" w:rsidRPr="00481C09">
        <w:rPr>
          <w:rFonts w:ascii="Rockwell" w:hAnsi="Rockwell"/>
        </w:rPr>
        <w:t>, we see that Northern California is doing quite well on a county level increasing the access to healthy food options.</w:t>
      </w:r>
    </w:p>
    <w:p w14:paraId="70928A55" w14:textId="77777777" w:rsidR="00D22120" w:rsidRPr="00481C09" w:rsidRDefault="00D22120">
      <w:pPr>
        <w:rPr>
          <w:rFonts w:ascii="Rockwell" w:hAnsi="Rockwell"/>
        </w:rPr>
      </w:pPr>
    </w:p>
    <w:p w14:paraId="5DD3283E" w14:textId="77777777" w:rsidR="003E6CA2" w:rsidRPr="00481C09" w:rsidRDefault="003E6CA2">
      <w:pPr>
        <w:rPr>
          <w:rFonts w:ascii="Rockwell" w:hAnsi="Rockwell"/>
        </w:rPr>
      </w:pPr>
    </w:p>
    <w:p w14:paraId="746B977B" w14:textId="62DC8BB2" w:rsidR="00D22120" w:rsidRPr="00481C09" w:rsidRDefault="00D22120">
      <w:pPr>
        <w:rPr>
          <w:rFonts w:ascii="Rockwell" w:hAnsi="Rockwell"/>
        </w:rPr>
      </w:pPr>
      <w:r w:rsidRPr="00481C09">
        <w:rPr>
          <w:rFonts w:ascii="Rockwell" w:hAnsi="Rockwell"/>
        </w:rPr>
        <w:t xml:space="preserve">Where we see the most worrying data is in low-income rural populations. </w:t>
      </w:r>
      <w:r w:rsidR="00E72263" w:rsidRPr="00481C09">
        <w:rPr>
          <w:rFonts w:ascii="Rockwell" w:hAnsi="Rockwell"/>
        </w:rPr>
        <w:t>In many counties</w:t>
      </w:r>
      <w:r w:rsidRPr="00481C09">
        <w:rPr>
          <w:rFonts w:ascii="Rockwell" w:hAnsi="Rockwell"/>
        </w:rPr>
        <w:t xml:space="preserve"> there </w:t>
      </w:r>
      <w:r w:rsidR="00D57DAD" w:rsidRPr="00481C09">
        <w:rPr>
          <w:rFonts w:ascii="Rockwell" w:hAnsi="Rockwell"/>
        </w:rPr>
        <w:t>has</w:t>
      </w:r>
      <w:r w:rsidRPr="00481C09">
        <w:rPr>
          <w:rFonts w:ascii="Rockwell" w:hAnsi="Rockwell"/>
        </w:rPr>
        <w:t xml:space="preserve"> been frightening decreases in access to healthy options. Even more disturbing is that children under 18 are </w:t>
      </w:r>
      <w:r w:rsidR="00D57DAD" w:rsidRPr="00481C09">
        <w:rPr>
          <w:rFonts w:ascii="Rockwell" w:hAnsi="Rockwell"/>
        </w:rPr>
        <w:t>affected</w:t>
      </w:r>
      <w:r w:rsidRPr="00481C09">
        <w:rPr>
          <w:rFonts w:ascii="Rockwell" w:hAnsi="Rockwell"/>
        </w:rPr>
        <w:t xml:space="preserve"> disproportionally. </w:t>
      </w:r>
    </w:p>
    <w:p w14:paraId="7907F618" w14:textId="77777777" w:rsidR="002E7840" w:rsidRPr="00481C09" w:rsidRDefault="002E7840">
      <w:pPr>
        <w:rPr>
          <w:rFonts w:ascii="Rockwell" w:hAnsi="Rockwell"/>
        </w:rPr>
      </w:pPr>
    </w:p>
    <w:p w14:paraId="2282A0F3" w14:textId="77777777" w:rsidR="003E6CA2" w:rsidRPr="00481C09" w:rsidRDefault="003E6CA2">
      <w:pPr>
        <w:rPr>
          <w:rFonts w:ascii="Rockwell" w:hAnsi="Rockwell"/>
        </w:rPr>
      </w:pPr>
    </w:p>
    <w:p w14:paraId="3A953DF7" w14:textId="439CED82" w:rsidR="001E08E7" w:rsidRPr="00481C09" w:rsidRDefault="00A61505">
      <w:pPr>
        <w:rPr>
          <w:rFonts w:ascii="Rockwell" w:hAnsi="Rockwell"/>
        </w:rPr>
      </w:pPr>
      <w:r>
        <w:rPr>
          <w:rFonts w:ascii="Rockwell" w:hAnsi="Rockwell"/>
        </w:rPr>
        <w:t>The exploration of demographics produced more varied results</w:t>
      </w:r>
      <w:r w:rsidR="00635614" w:rsidRPr="00481C09">
        <w:rPr>
          <w:rFonts w:ascii="Rockwell" w:hAnsi="Rockwell"/>
        </w:rPr>
        <w:t>. It was obvious that as the populations of Black, Asians, and Hispanics</w:t>
      </w:r>
      <w:r w:rsidR="001E08E7" w:rsidRPr="00481C09">
        <w:rPr>
          <w:rFonts w:ascii="Rockwell" w:hAnsi="Rockwell"/>
        </w:rPr>
        <w:t>, easy access to healthy food decreases and yet, the</w:t>
      </w:r>
      <w:r>
        <w:rPr>
          <w:rFonts w:ascii="Rockwell" w:hAnsi="Rockwell"/>
        </w:rPr>
        <w:t>re large populations of W</w:t>
      </w:r>
      <w:r w:rsidR="001E08E7" w:rsidRPr="00481C09">
        <w:rPr>
          <w:rFonts w:ascii="Rockwell" w:hAnsi="Rockwell"/>
        </w:rPr>
        <w:t>hites facing food deserts. Again, we see low-income populations suffer</w:t>
      </w:r>
      <w:r w:rsidR="00632777" w:rsidRPr="00481C09">
        <w:rPr>
          <w:rFonts w:ascii="Rockwell" w:hAnsi="Rockwell"/>
        </w:rPr>
        <w:t>ing</w:t>
      </w:r>
      <w:r w:rsidR="001E08E7" w:rsidRPr="00481C09">
        <w:rPr>
          <w:rFonts w:ascii="Rockwell" w:hAnsi="Rockwell"/>
        </w:rPr>
        <w:t xml:space="preserve"> low</w:t>
      </w:r>
      <w:r w:rsidR="00470CC3" w:rsidRPr="00481C09">
        <w:rPr>
          <w:rFonts w:ascii="Rockwell" w:hAnsi="Rockwell"/>
        </w:rPr>
        <w:t>er</w:t>
      </w:r>
      <w:r w:rsidR="001E08E7" w:rsidRPr="00481C09">
        <w:rPr>
          <w:rFonts w:ascii="Rockwell" w:hAnsi="Rockwell"/>
        </w:rPr>
        <w:t xml:space="preserve"> access</w:t>
      </w:r>
      <w:r w:rsidR="00632777" w:rsidRPr="00481C09">
        <w:rPr>
          <w:rFonts w:ascii="Rockwell" w:hAnsi="Rockwell"/>
        </w:rPr>
        <w:t xml:space="preserve"> to wholesome options </w:t>
      </w:r>
      <w:r w:rsidR="003E6CA2" w:rsidRPr="00481C09">
        <w:rPr>
          <w:rFonts w:ascii="Rockwell" w:hAnsi="Rockwell"/>
        </w:rPr>
        <w:t>at a higher rate than</w:t>
      </w:r>
      <w:r w:rsidR="00470CC3" w:rsidRPr="00481C09">
        <w:rPr>
          <w:rFonts w:ascii="Rockwell" w:hAnsi="Rockwell"/>
        </w:rPr>
        <w:t xml:space="preserve"> the rest of their cohorts</w:t>
      </w:r>
      <w:r w:rsidR="001E08E7" w:rsidRPr="00481C09">
        <w:rPr>
          <w:rFonts w:ascii="Rockwell" w:hAnsi="Rockwell"/>
        </w:rPr>
        <w:t>.</w:t>
      </w:r>
    </w:p>
    <w:p w14:paraId="12CB33C8" w14:textId="77777777" w:rsidR="001E08E7" w:rsidRPr="00481C09" w:rsidRDefault="001E08E7">
      <w:pPr>
        <w:rPr>
          <w:rFonts w:ascii="Rockwell" w:hAnsi="Rockwell"/>
        </w:rPr>
      </w:pPr>
    </w:p>
    <w:p w14:paraId="4CD8354A" w14:textId="77777777" w:rsidR="003C45B5" w:rsidRPr="00481C09" w:rsidRDefault="003C45B5">
      <w:pPr>
        <w:rPr>
          <w:rFonts w:ascii="Rockwell" w:hAnsi="Rockwell"/>
        </w:rPr>
      </w:pPr>
    </w:p>
    <w:p w14:paraId="59CDA03C" w14:textId="725D1277" w:rsidR="002E7840" w:rsidRPr="00481C09" w:rsidRDefault="001E08E7">
      <w:pPr>
        <w:rPr>
          <w:rFonts w:ascii="Rockwell" w:hAnsi="Rockwell"/>
        </w:rPr>
      </w:pPr>
      <w:r w:rsidRPr="00481C09">
        <w:rPr>
          <w:rFonts w:ascii="Rockwell" w:hAnsi="Rockwell"/>
        </w:rPr>
        <w:t xml:space="preserve">In each of the following figures, the </w:t>
      </w:r>
      <w:r w:rsidR="00A61505">
        <w:rPr>
          <w:rFonts w:ascii="Rockwell" w:hAnsi="Rockwell"/>
        </w:rPr>
        <w:t>steeper</w:t>
      </w:r>
      <w:r w:rsidRPr="00481C09">
        <w:rPr>
          <w:rFonts w:ascii="Rockwell" w:hAnsi="Rockwell"/>
        </w:rPr>
        <w:t xml:space="preserve"> correlations between </w:t>
      </w:r>
      <w:r w:rsidR="00632777" w:rsidRPr="00481C09">
        <w:rPr>
          <w:rFonts w:ascii="Rockwell" w:hAnsi="Rockwell"/>
        </w:rPr>
        <w:t xml:space="preserve">low access to food and the low-income corresponding cohort is obvious. </w:t>
      </w:r>
      <w:hyperlink r:id="rId20" w:history="1">
        <w:r w:rsidR="00632777" w:rsidRPr="00481C09">
          <w:rPr>
            <w:rStyle w:val="Hyperlink"/>
            <w:rFonts w:ascii="Rockwell" w:hAnsi="Rockwell"/>
          </w:rPr>
          <w:t>Figure one</w:t>
        </w:r>
      </w:hyperlink>
      <w:r w:rsidR="00632777" w:rsidRPr="00481C09">
        <w:rPr>
          <w:rFonts w:ascii="Rockwell" w:hAnsi="Rockwell"/>
        </w:rPr>
        <w:t xml:space="preserve"> is shows steeper lines in the lower income of children. </w:t>
      </w:r>
      <w:hyperlink r:id="rId21" w:history="1">
        <w:r w:rsidR="00632777" w:rsidRPr="00481C09">
          <w:rPr>
            <w:rStyle w:val="Hyperlink"/>
            <w:rFonts w:ascii="Rockwell" w:hAnsi="Rockwell"/>
          </w:rPr>
          <w:t>Figure two</w:t>
        </w:r>
      </w:hyperlink>
      <w:r w:rsidR="00632777" w:rsidRPr="00481C09">
        <w:rPr>
          <w:rFonts w:ascii="Rockwell" w:hAnsi="Rockwell"/>
        </w:rPr>
        <w:t xml:space="preserve"> show the same with demographics. </w:t>
      </w:r>
    </w:p>
    <w:p w14:paraId="028BD813" w14:textId="77777777" w:rsidR="003C4147" w:rsidRPr="00481C09" w:rsidRDefault="003C4147">
      <w:pPr>
        <w:rPr>
          <w:rFonts w:ascii="Rockwell" w:hAnsi="Rockwell"/>
        </w:rPr>
      </w:pPr>
    </w:p>
    <w:p w14:paraId="00A81485" w14:textId="77777777" w:rsidR="003C45B5" w:rsidRPr="00481C09" w:rsidRDefault="003C45B5">
      <w:pPr>
        <w:rPr>
          <w:rFonts w:ascii="Rockwell" w:hAnsi="Rockwell"/>
        </w:rPr>
      </w:pPr>
    </w:p>
    <w:p w14:paraId="5BCEA32E" w14:textId="779A62E0" w:rsidR="003C4147" w:rsidRPr="00481C09" w:rsidRDefault="003C4147" w:rsidP="003C4147">
      <w:pPr>
        <w:rPr>
          <w:rFonts w:ascii="Rockwell" w:hAnsi="Rockwell"/>
        </w:rPr>
      </w:pPr>
      <w:r w:rsidRPr="00481C09">
        <w:rPr>
          <w:rFonts w:ascii="Rockwell" w:hAnsi="Rockwell"/>
        </w:rPr>
        <w:t xml:space="preserve">Of all the relationships we explored, the relationship between change in access and change low-income access may have been the strongest. </w:t>
      </w:r>
    </w:p>
    <w:p w14:paraId="0EAC0DD4" w14:textId="77777777" w:rsidR="003C4147" w:rsidRPr="00481C09" w:rsidRDefault="003C4147" w:rsidP="003C4147">
      <w:pPr>
        <w:rPr>
          <w:rFonts w:ascii="Rockwell" w:hAnsi="Rockwell"/>
        </w:rPr>
      </w:pPr>
    </w:p>
    <w:p w14:paraId="22449ACF" w14:textId="388CAB1F" w:rsidR="003C4147" w:rsidRPr="00481C09" w:rsidRDefault="00481C09" w:rsidP="003C4147">
      <w:pPr>
        <w:jc w:val="center"/>
        <w:rPr>
          <w:rFonts w:ascii="Rockwell" w:hAnsi="Rockwell"/>
        </w:rPr>
      </w:pPr>
      <w:r w:rsidRPr="00481C09">
        <w:rPr>
          <w:rFonts w:ascii="Rockwell" w:hAnsi="Rockwell"/>
          <w:noProof/>
        </w:rPr>
        <w:drawing>
          <wp:inline distT="0" distB="0" distL="0" distR="0" wp14:anchorId="1B88BEDB" wp14:editId="33EADAEA">
            <wp:extent cx="3547870" cy="2756422"/>
            <wp:effectExtent l="0" t="0" r="0" b="0"/>
            <wp:docPr id="74602750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27503" name="Picture 1"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6060" cy="2786093"/>
                    </a:xfrm>
                    <a:prstGeom prst="rect">
                      <a:avLst/>
                    </a:prstGeom>
                    <a:noFill/>
                    <a:ln>
                      <a:noFill/>
                    </a:ln>
                  </pic:spPr>
                </pic:pic>
              </a:graphicData>
            </a:graphic>
          </wp:inline>
        </w:drawing>
      </w:r>
    </w:p>
    <w:p w14:paraId="53D9E43A" w14:textId="77777777" w:rsidR="003C4147" w:rsidRPr="00481C09" w:rsidRDefault="003C4147" w:rsidP="003C4147">
      <w:pPr>
        <w:pStyle w:val="HTMLPreformatted"/>
        <w:wordWrap w:val="0"/>
        <w:jc w:val="center"/>
        <w:textAlignment w:val="baseline"/>
        <w:rPr>
          <w:rFonts w:ascii="Rockwell" w:hAnsi="Rockwell"/>
          <w:color w:val="000000"/>
          <w:sz w:val="16"/>
          <w:szCs w:val="16"/>
        </w:rPr>
      </w:pPr>
      <w:r w:rsidRPr="00481C09">
        <w:rPr>
          <w:rFonts w:ascii="Rockwell" w:hAnsi="Rockwell"/>
          <w:color w:val="000000"/>
          <w:sz w:val="16"/>
          <w:szCs w:val="16"/>
        </w:rPr>
        <w:t>Correlation coefficient: 0.93</w:t>
      </w:r>
    </w:p>
    <w:p w14:paraId="69157443" w14:textId="77777777" w:rsidR="003C4147" w:rsidRPr="00481C09" w:rsidRDefault="003C4147" w:rsidP="003C4147">
      <w:pPr>
        <w:pStyle w:val="HTMLPreformatted"/>
        <w:wordWrap w:val="0"/>
        <w:jc w:val="center"/>
        <w:textAlignment w:val="baseline"/>
        <w:rPr>
          <w:rFonts w:ascii="Rockwell" w:hAnsi="Rockwell"/>
          <w:color w:val="000000"/>
          <w:sz w:val="16"/>
          <w:szCs w:val="16"/>
        </w:rPr>
      </w:pPr>
      <w:r w:rsidRPr="00481C09">
        <w:rPr>
          <w:rFonts w:ascii="Rockwell" w:hAnsi="Rockwell"/>
          <w:color w:val="000000"/>
          <w:sz w:val="16"/>
          <w:szCs w:val="16"/>
        </w:rPr>
        <w:t>P-value: 0.145480</w:t>
      </w:r>
    </w:p>
    <w:p w14:paraId="6BC1F6B0" w14:textId="77777777" w:rsidR="003C4147" w:rsidRPr="00481C09" w:rsidRDefault="003C4147" w:rsidP="003C4147">
      <w:pPr>
        <w:rPr>
          <w:rFonts w:ascii="Rockwell" w:hAnsi="Rockwell"/>
        </w:rPr>
      </w:pPr>
    </w:p>
    <w:p w14:paraId="08F508DB" w14:textId="32CCC2A8" w:rsidR="003C4147" w:rsidRPr="00481C09" w:rsidRDefault="003C4147" w:rsidP="003C4147">
      <w:pPr>
        <w:rPr>
          <w:rFonts w:ascii="Rockwell" w:hAnsi="Rockwell"/>
          <w:color w:val="000000"/>
        </w:rPr>
      </w:pPr>
      <w:r w:rsidRPr="00481C09">
        <w:rPr>
          <w:rFonts w:ascii="Rockwell" w:hAnsi="Rockwell"/>
        </w:rPr>
        <w:t>The correlation coefficient was a very strong (0.93) and while the p-value was not as low as some others, when we expanded the data set to all of California, the correlation remained strong and the p-value decreased considerably (</w:t>
      </w:r>
      <w:r w:rsidRPr="00481C09">
        <w:rPr>
          <w:rFonts w:ascii="Rockwell" w:hAnsi="Rockwell"/>
          <w:color w:val="000000"/>
        </w:rPr>
        <w:t xml:space="preserve">Correlation coefficient: 0.74, P-value: 0.015667) </w:t>
      </w:r>
      <w:r w:rsidRPr="00481C09">
        <w:rPr>
          <w:rFonts w:ascii="Rockwell" w:hAnsi="Rockwell"/>
        </w:rPr>
        <w:t xml:space="preserve">so we feel confident the significance of this relationship </w:t>
      </w:r>
      <w:r w:rsidR="001B6F71" w:rsidRPr="00481C09">
        <w:rPr>
          <w:rFonts w:ascii="Rockwell" w:hAnsi="Rockwell"/>
        </w:rPr>
        <w:t>at the</w:t>
      </w:r>
      <w:r w:rsidRPr="00481C09">
        <w:rPr>
          <w:rFonts w:ascii="Rockwell" w:hAnsi="Rockwell"/>
        </w:rPr>
        <w:t xml:space="preserve"> county level. </w:t>
      </w:r>
      <w:hyperlink r:id="rId23" w:history="1">
        <w:r w:rsidRPr="00481C09">
          <w:rPr>
            <w:rStyle w:val="Hyperlink"/>
            <w:rFonts w:ascii="Rockwell" w:hAnsi="Rockwell"/>
          </w:rPr>
          <w:t>(</w:t>
        </w:r>
        <w:proofErr w:type="gramStart"/>
        <w:r w:rsidRPr="00481C09">
          <w:rPr>
            <w:rStyle w:val="Hyperlink"/>
            <w:rFonts w:ascii="Rockwell" w:hAnsi="Rockwell"/>
          </w:rPr>
          <w:t>see</w:t>
        </w:r>
        <w:proofErr w:type="gramEnd"/>
        <w:r w:rsidRPr="00481C09">
          <w:rPr>
            <w:rStyle w:val="Hyperlink"/>
            <w:rFonts w:ascii="Rockwell" w:hAnsi="Rockwell"/>
          </w:rPr>
          <w:t xml:space="preserve"> fig…)</w:t>
        </w:r>
      </w:hyperlink>
    </w:p>
    <w:p w14:paraId="03D74467" w14:textId="77777777" w:rsidR="009F506F" w:rsidRPr="00481C09" w:rsidRDefault="009F506F">
      <w:pPr>
        <w:rPr>
          <w:rFonts w:ascii="Rockwell" w:hAnsi="Rockwell"/>
        </w:rPr>
      </w:pPr>
    </w:p>
    <w:p w14:paraId="72C96727" w14:textId="77777777" w:rsidR="003C4147" w:rsidRPr="00481C09" w:rsidRDefault="003C4147">
      <w:pPr>
        <w:rPr>
          <w:rFonts w:ascii="Rockwell" w:hAnsi="Rockwell"/>
        </w:rPr>
      </w:pPr>
    </w:p>
    <w:p w14:paraId="6B028FF8" w14:textId="4B27ED49" w:rsidR="00ED279D" w:rsidRPr="00481C09" w:rsidRDefault="00D22120">
      <w:pPr>
        <w:rPr>
          <w:rFonts w:ascii="Rockwell" w:hAnsi="Rockwell"/>
        </w:rPr>
      </w:pPr>
      <w:r w:rsidRPr="00481C09">
        <w:rPr>
          <w:rFonts w:ascii="Rockwell" w:hAnsi="Rockwell"/>
        </w:rPr>
        <w:t xml:space="preserve">While it is not </w:t>
      </w:r>
      <w:r w:rsidR="00D57DAD" w:rsidRPr="00481C09">
        <w:rPr>
          <w:rFonts w:ascii="Rockwell" w:hAnsi="Rockwell"/>
        </w:rPr>
        <w:t>surprising</w:t>
      </w:r>
      <w:r w:rsidRPr="00481C09">
        <w:rPr>
          <w:rFonts w:ascii="Rockwell" w:hAnsi="Rockwell"/>
        </w:rPr>
        <w:t xml:space="preserve">, it is important to stress that in almost all the data, </w:t>
      </w:r>
      <w:r w:rsidR="00D57DAD" w:rsidRPr="00481C09">
        <w:rPr>
          <w:rFonts w:ascii="Rockwell" w:hAnsi="Rockwell"/>
        </w:rPr>
        <w:t>low-income</w:t>
      </w:r>
      <w:r w:rsidRPr="00481C09">
        <w:rPr>
          <w:rFonts w:ascii="Rockwell" w:hAnsi="Rockwell"/>
        </w:rPr>
        <w:t xml:space="preserve"> populations of the same cohorts, whether by race, age or geography, tended to see lower access to healthy food options</w:t>
      </w:r>
      <w:r w:rsidR="00D57DAD" w:rsidRPr="00481C09">
        <w:rPr>
          <w:rFonts w:ascii="Rockwell" w:hAnsi="Rockwell"/>
        </w:rPr>
        <w:t xml:space="preserve"> than those with higher incomes</w:t>
      </w:r>
      <w:r w:rsidRPr="00481C09">
        <w:rPr>
          <w:rFonts w:ascii="Rockwell" w:hAnsi="Rockwell"/>
        </w:rPr>
        <w:t xml:space="preserve">. </w:t>
      </w:r>
      <w:r w:rsidR="00D57DAD" w:rsidRPr="00481C09">
        <w:rPr>
          <w:rFonts w:ascii="Rockwell" w:hAnsi="Rockwell"/>
        </w:rPr>
        <w:t>While the limitations of this data have been addressed earlier in this summary, Northern California’s policy makers should do more to increase access to healthy food options for the populations where economic insecurity (and consequently food insecurity) are at there highest.</w:t>
      </w:r>
      <w:r w:rsidRPr="00481C09">
        <w:rPr>
          <w:rFonts w:ascii="Rockwell" w:hAnsi="Rockwell"/>
        </w:rPr>
        <w:t xml:space="preserve"> </w:t>
      </w:r>
    </w:p>
    <w:p w14:paraId="0462A98E" w14:textId="77777777" w:rsidR="00ED279D" w:rsidRPr="00D57DAD" w:rsidRDefault="00ED279D"/>
    <w:sectPr w:rsidR="00ED279D" w:rsidRPr="00D57DAD" w:rsidSect="00FA5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4C1CF" w14:textId="77777777" w:rsidR="00711FAE" w:rsidRDefault="00711FAE" w:rsidP="00FA52CE">
      <w:r>
        <w:separator/>
      </w:r>
    </w:p>
  </w:endnote>
  <w:endnote w:type="continuationSeparator" w:id="0">
    <w:p w14:paraId="38F94701" w14:textId="77777777" w:rsidR="00711FAE" w:rsidRDefault="00711FAE" w:rsidP="00FA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Body)">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9ACE" w14:textId="77777777" w:rsidR="00711FAE" w:rsidRDefault="00711FAE" w:rsidP="00FA52CE">
      <w:r>
        <w:separator/>
      </w:r>
    </w:p>
  </w:footnote>
  <w:footnote w:type="continuationSeparator" w:id="0">
    <w:p w14:paraId="49778DEA" w14:textId="77777777" w:rsidR="00711FAE" w:rsidRDefault="00711FAE" w:rsidP="00FA52CE">
      <w:r>
        <w:continuationSeparator/>
      </w:r>
    </w:p>
  </w:footnote>
  <w:footnote w:id="1">
    <w:p w14:paraId="4781E58C" w14:textId="190847E7" w:rsidR="00FA52CE" w:rsidRDefault="00FA52CE">
      <w:pPr>
        <w:pStyle w:val="FootnoteText"/>
      </w:pPr>
      <w:r>
        <w:rPr>
          <w:rStyle w:val="FootnoteReference"/>
        </w:rPr>
        <w:footnoteRef/>
      </w:r>
      <w:r>
        <w:t xml:space="preserve"> </w:t>
      </w:r>
      <w:r w:rsidR="00BE7137" w:rsidRPr="00BE7137">
        <w:t>https://www.ers.usda.gov/data-products/food-access-research-atlas/about-the-atlas/</w:t>
      </w:r>
    </w:p>
  </w:footnote>
  <w:footnote w:id="2">
    <w:p w14:paraId="6EB309F2" w14:textId="2D32A612" w:rsidR="00B42BF5" w:rsidRDefault="00B42BF5">
      <w:pPr>
        <w:pStyle w:val="FootnoteText"/>
      </w:pPr>
      <w:r>
        <w:rPr>
          <w:rStyle w:val="FootnoteReference"/>
        </w:rPr>
        <w:footnoteRef/>
      </w:r>
      <w:r>
        <w:t xml:space="preserve"> </w:t>
      </w:r>
      <w:r w:rsidRPr="00B42BF5">
        <w:t>https://www.ncbi.nlm.nih.gov/pmc/articles/PMC4218969/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D302C"/>
    <w:multiLevelType w:val="multilevel"/>
    <w:tmpl w:val="A332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55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CE"/>
    <w:rsid w:val="0000304C"/>
    <w:rsid w:val="000B2A05"/>
    <w:rsid w:val="00102769"/>
    <w:rsid w:val="00183674"/>
    <w:rsid w:val="001B6F71"/>
    <w:rsid w:val="001C336F"/>
    <w:rsid w:val="001E08E7"/>
    <w:rsid w:val="00220449"/>
    <w:rsid w:val="00282D91"/>
    <w:rsid w:val="002D732C"/>
    <w:rsid w:val="002E0B7A"/>
    <w:rsid w:val="002E7840"/>
    <w:rsid w:val="00387ECF"/>
    <w:rsid w:val="003C4147"/>
    <w:rsid w:val="003C45B5"/>
    <w:rsid w:val="003E674A"/>
    <w:rsid w:val="003E6CA2"/>
    <w:rsid w:val="003F42C6"/>
    <w:rsid w:val="00415DA2"/>
    <w:rsid w:val="00461314"/>
    <w:rsid w:val="00470CC3"/>
    <w:rsid w:val="00481C09"/>
    <w:rsid w:val="00484BCA"/>
    <w:rsid w:val="00487CA9"/>
    <w:rsid w:val="004A3E30"/>
    <w:rsid w:val="004C7CD9"/>
    <w:rsid w:val="00510C50"/>
    <w:rsid w:val="0051494E"/>
    <w:rsid w:val="00530987"/>
    <w:rsid w:val="0057675B"/>
    <w:rsid w:val="005F04A7"/>
    <w:rsid w:val="00632777"/>
    <w:rsid w:val="006330BD"/>
    <w:rsid w:val="00635614"/>
    <w:rsid w:val="00637DEF"/>
    <w:rsid w:val="00674752"/>
    <w:rsid w:val="006F4100"/>
    <w:rsid w:val="00711FAE"/>
    <w:rsid w:val="00750C85"/>
    <w:rsid w:val="00790D3C"/>
    <w:rsid w:val="007B6D9D"/>
    <w:rsid w:val="00941E1F"/>
    <w:rsid w:val="009A67BA"/>
    <w:rsid w:val="009F506F"/>
    <w:rsid w:val="009F55E4"/>
    <w:rsid w:val="00A61505"/>
    <w:rsid w:val="00A9530B"/>
    <w:rsid w:val="00AD088C"/>
    <w:rsid w:val="00AE02B2"/>
    <w:rsid w:val="00B42BF5"/>
    <w:rsid w:val="00BA53AC"/>
    <w:rsid w:val="00BE7137"/>
    <w:rsid w:val="00C26680"/>
    <w:rsid w:val="00CB1955"/>
    <w:rsid w:val="00CB2968"/>
    <w:rsid w:val="00D06B30"/>
    <w:rsid w:val="00D1610E"/>
    <w:rsid w:val="00D22120"/>
    <w:rsid w:val="00D57DAD"/>
    <w:rsid w:val="00E077E2"/>
    <w:rsid w:val="00E32EAC"/>
    <w:rsid w:val="00E72263"/>
    <w:rsid w:val="00E773F1"/>
    <w:rsid w:val="00ED279D"/>
    <w:rsid w:val="00F546F6"/>
    <w:rsid w:val="00FA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750B"/>
  <w15:chartTrackingRefBased/>
  <w15:docId w15:val="{3B8279C7-93E1-374C-B32C-8AC42767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52CE"/>
    <w:rPr>
      <w:sz w:val="20"/>
      <w:szCs w:val="20"/>
    </w:rPr>
  </w:style>
  <w:style w:type="character" w:customStyle="1" w:styleId="FootnoteTextChar">
    <w:name w:val="Footnote Text Char"/>
    <w:basedOn w:val="DefaultParagraphFont"/>
    <w:link w:val="FootnoteText"/>
    <w:uiPriority w:val="99"/>
    <w:semiHidden/>
    <w:rsid w:val="00FA52CE"/>
    <w:rPr>
      <w:sz w:val="20"/>
      <w:szCs w:val="20"/>
    </w:rPr>
  </w:style>
  <w:style w:type="character" w:styleId="FootnoteReference">
    <w:name w:val="footnote reference"/>
    <w:basedOn w:val="DefaultParagraphFont"/>
    <w:uiPriority w:val="99"/>
    <w:semiHidden/>
    <w:unhideWhenUsed/>
    <w:rsid w:val="00FA52CE"/>
    <w:rPr>
      <w:vertAlign w:val="superscript"/>
    </w:rPr>
  </w:style>
  <w:style w:type="character" w:customStyle="1" w:styleId="p-memberprofilehovercard">
    <w:name w:val="p-member_profile_hover_card"/>
    <w:basedOn w:val="DefaultParagraphFont"/>
    <w:rsid w:val="00D06B30"/>
  </w:style>
  <w:style w:type="character" w:styleId="Hyperlink">
    <w:name w:val="Hyperlink"/>
    <w:basedOn w:val="DefaultParagraphFont"/>
    <w:uiPriority w:val="99"/>
    <w:unhideWhenUsed/>
    <w:rsid w:val="0051494E"/>
    <w:rPr>
      <w:color w:val="0563C1" w:themeColor="hyperlink"/>
      <w:u w:val="single"/>
    </w:rPr>
  </w:style>
  <w:style w:type="character" w:styleId="UnresolvedMention">
    <w:name w:val="Unresolved Mention"/>
    <w:basedOn w:val="DefaultParagraphFont"/>
    <w:uiPriority w:val="99"/>
    <w:semiHidden/>
    <w:unhideWhenUsed/>
    <w:rsid w:val="0051494E"/>
    <w:rPr>
      <w:color w:val="605E5C"/>
      <w:shd w:val="clear" w:color="auto" w:fill="E1DFDD"/>
    </w:rPr>
  </w:style>
  <w:style w:type="character" w:styleId="FollowedHyperlink">
    <w:name w:val="FollowedHyperlink"/>
    <w:basedOn w:val="DefaultParagraphFont"/>
    <w:uiPriority w:val="99"/>
    <w:semiHidden/>
    <w:unhideWhenUsed/>
    <w:rsid w:val="004A3E30"/>
    <w:rPr>
      <w:color w:val="954F72" w:themeColor="followedHyperlink"/>
      <w:u w:val="single"/>
    </w:rPr>
  </w:style>
  <w:style w:type="paragraph" w:styleId="HTMLPreformatted">
    <w:name w:val="HTML Preformatted"/>
    <w:basedOn w:val="Normal"/>
    <w:link w:val="HTMLPreformattedChar"/>
    <w:uiPriority w:val="99"/>
    <w:semiHidden/>
    <w:unhideWhenUsed/>
    <w:rsid w:val="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6680"/>
    <w:rPr>
      <w:rFonts w:ascii="Courier New" w:eastAsia="Times New Roman" w:hAnsi="Courier New" w:cs="Courier New"/>
      <w:kern w:val="0"/>
      <w:sz w:val="20"/>
      <w:szCs w:val="20"/>
      <w14:ligatures w14:val="none"/>
    </w:rPr>
  </w:style>
  <w:style w:type="character" w:customStyle="1" w:styleId="s1">
    <w:name w:val="s1"/>
    <w:basedOn w:val="DefaultParagraphFont"/>
    <w:rsid w:val="00C2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90248">
      <w:bodyDiv w:val="1"/>
      <w:marLeft w:val="0"/>
      <w:marRight w:val="0"/>
      <w:marTop w:val="0"/>
      <w:marBottom w:val="0"/>
      <w:divBdr>
        <w:top w:val="none" w:sz="0" w:space="0" w:color="auto"/>
        <w:left w:val="none" w:sz="0" w:space="0" w:color="auto"/>
        <w:bottom w:val="none" w:sz="0" w:space="0" w:color="auto"/>
        <w:right w:val="none" w:sz="0" w:space="0" w:color="auto"/>
      </w:divBdr>
    </w:div>
    <w:div w:id="384914542">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565798595">
      <w:bodyDiv w:val="1"/>
      <w:marLeft w:val="0"/>
      <w:marRight w:val="0"/>
      <w:marTop w:val="0"/>
      <w:marBottom w:val="0"/>
      <w:divBdr>
        <w:top w:val="none" w:sz="0" w:space="0" w:color="auto"/>
        <w:left w:val="none" w:sz="0" w:space="0" w:color="auto"/>
        <w:bottom w:val="none" w:sz="0" w:space="0" w:color="auto"/>
        <w:right w:val="none" w:sz="0" w:space="0" w:color="auto"/>
      </w:divBdr>
    </w:div>
    <w:div w:id="1750232731">
      <w:bodyDiv w:val="1"/>
      <w:marLeft w:val="0"/>
      <w:marRight w:val="0"/>
      <w:marTop w:val="0"/>
      <w:marBottom w:val="0"/>
      <w:divBdr>
        <w:top w:val="none" w:sz="0" w:space="0" w:color="auto"/>
        <w:left w:val="none" w:sz="0" w:space="0" w:color="auto"/>
        <w:bottom w:val="none" w:sz="0" w:space="0" w:color="auto"/>
        <w:right w:val="none" w:sz="0" w:space="0" w:color="auto"/>
      </w:divBdr>
    </w:div>
    <w:div w:id="201394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Cushman/project-1/blob/MKL/Outputs/AllCounties_2010Pop_byAccessandIncome.png" TargetMode="External"/><Relationship Id="rId13" Type="http://schemas.openxmlformats.org/officeDocument/2006/relationships/hyperlink" Target="https://github.com/PsCushman/project-1/blob/psc/Outputs_psc/Median%20Percentage%20Low%20Access%20by%20Race.png" TargetMode="External"/><Relationship Id="rId18" Type="http://schemas.openxmlformats.org/officeDocument/2006/relationships/hyperlink" Target="https://github.com/PsCushman/project-1/blob/psc/Outputs_psc/Calaveras_desert.png" TargetMode="External"/><Relationship Id="rId3" Type="http://schemas.openxmlformats.org/officeDocument/2006/relationships/settings" Target="settings.xml"/><Relationship Id="rId21" Type="http://schemas.openxmlformats.org/officeDocument/2006/relationships/hyperlink" Target="https://github.com/PsCushman/project-1/blob/Dre/Outputs/scatterplot_race_and_low_income_food_access_data_2010.png" TargetMode="External"/><Relationship Id="rId7" Type="http://schemas.openxmlformats.org/officeDocument/2006/relationships/hyperlink" Target="https://github.com/PsCushman/project-1/blob/psc/Outputs_psc/map_of_deserts.png" TargetMode="External"/><Relationship Id="rId12" Type="http://schemas.openxmlformats.org/officeDocument/2006/relationships/hyperlink" Target="https://github.com/PsCushman/project-1/blob/Dre/Outputs/scatterplot_race_and_food_access_data_2010.png" TargetMode="External"/><Relationship Id="rId17" Type="http://schemas.openxmlformats.org/officeDocument/2006/relationships/hyperlink" Target="https://github.com/PsCushman/project-1/blob/psc/Outputs_psc/Change%20in%20Low%20Access%20Northen%20CA%20vs.%20Population%20Change.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sCushman/project-1/blob/psc/Outputs_psc/Change%20in%20Low%20Access%20Northen%20CA%20vs.%20Population.png" TargetMode="External"/><Relationship Id="rId20" Type="http://schemas.openxmlformats.org/officeDocument/2006/relationships/hyperlink" Target="https://github.com/PsCushman/project-1/blob/Dre/scatterplot_65_vs_18_and_low_income_food_access_data_2010.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sCushman/project-1/blob/psc/Outputs_psc/Change%20in%20Low%20Access%20vs.%20Change%20In%20Fast%20Food.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PsCushman/project-1/blob/psc/Outputs_psc/Change%20in%20Low%20Access%20vs.%20Low%20Income%20Change%20in%20Access.png" TargetMode="External"/><Relationship Id="rId23" Type="http://schemas.openxmlformats.org/officeDocument/2006/relationships/hyperlink" Target="https://github.com/PsCushman/project-1/blob/psc/Outputs_psc/Change%20in%20Low%20Access%20vs.%20Low%20Income%20Change%20in%20Access%20for%20All%20California.png" TargetMode="External"/><Relationship Id="rId10" Type="http://schemas.openxmlformats.org/officeDocument/2006/relationships/hyperlink" Target="https://github.com/PsCushman/project-1/blob/MKL/Outputs/populationANDaccessAVG_byRegion_BarGraph.png" TargetMode="External"/><Relationship Id="rId19" Type="http://schemas.openxmlformats.org/officeDocument/2006/relationships/hyperlink" Target="https://github.com/PsCushman/project-1/blob/psc/Outputs_psc/calaveras_desert_w_border.png" TargetMode="External"/><Relationship Id="rId4" Type="http://schemas.openxmlformats.org/officeDocument/2006/relationships/webSettings" Target="webSettings.xml"/><Relationship Id="rId9" Type="http://schemas.openxmlformats.org/officeDocument/2006/relationships/hyperlink" Target="https://github.com/PsCushman/project-1/blob/MKL/Outputs/AllCounties_2015Pop_byAccessandIncome.png" TargetMode="External"/><Relationship Id="rId14" Type="http://schemas.openxmlformats.org/officeDocument/2006/relationships/hyperlink" Target="https://github.com/PsCushman/project-1/blob/Dre/scatterplot_65_vs_18_and_food_access_data_2010.png"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6</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Cushman</dc:creator>
  <cp:keywords/>
  <dc:description/>
  <cp:lastModifiedBy>Payson Cushman</cp:lastModifiedBy>
  <cp:revision>8</cp:revision>
  <cp:lastPrinted>2023-05-03T16:13:00Z</cp:lastPrinted>
  <dcterms:created xsi:type="dcterms:W3CDTF">2023-05-01T17:37:00Z</dcterms:created>
  <dcterms:modified xsi:type="dcterms:W3CDTF">2023-05-03T22:38:00Z</dcterms:modified>
</cp:coreProperties>
</file>