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7.240142822265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ACM-W India, Coimbatore ACM Chapter and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2923.71994018554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PSG College of Technology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2958.0400085449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AthenaHacks - Hackathon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3046.12014770507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Proposal Outline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1581.9999694824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03125" w:line="240" w:lineRule="auto"/>
        <w:ind w:left="11.759948730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TEAM DETAILS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19384765625" w:line="240" w:lineRule="auto"/>
        <w:ind w:left="360.1600646972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Name :  Ella health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62.7999877929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Name : PSG College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58.9599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mentor name : Dr. Banu Rekha 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358.9599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mail id :  bbr.bme@psgtech.ac.in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60.1600646972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Leader :  Priyadarshini P 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359.92004394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id : 20d231@ps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gtech.ac.in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58.9599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Number :  87784 37301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21484375" w:line="240" w:lineRule="auto"/>
        <w:ind w:left="0.24002075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INTRODUCTION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Project Theme: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Healthcare Innovation and Automation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Project Title: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Ella Health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A women centric healthcare solution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Motivation: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Tech-driven solutions for women’s health and wellbeing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Women face significant health challenges, including irregular periods, PCOD (Polycystic Ovary Syndrome), psychological issues, and lifestyle-related health concerns. These problems often lead to physical discomfort, emotional stress, and an overall decreased quality of life. However, women currently lack a centralized and user-friendly platform to track and address these issues comprehensively. There is a clear need for a dedicated women-centric health application that allows for effective monitoring, provides personalized recommendations, and offers essential information and support to help women better manage these health challenges and ultimately improve their well-being.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Solution Proposed: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We propose a comprehensive women's health application to empower women in managing irregular menstruation, PCOD, psychological well-being, and lifestyle issues. The app will offer tracking, personalized recommendations, educational resources, and community support to enhance women's overall well-being and autonomy in their health journey.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Significance: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below are the significance of the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.7200927734375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Menstrual Health Tracking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PCOD Management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Psychological Well-being Support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Lifestyle Guidance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Community and Support Networks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203125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PROJECT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203125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315"/>
        <w:tblGridChange w:id="0">
          <w:tblGrid>
            <w:gridCol w:w="253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0000"/>
                <w:sz w:val="24"/>
                <w:szCs w:val="24"/>
                <w:rtl w:val="0"/>
              </w:rPr>
              <w:t xml:space="preserve">Softwares Used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4"/>
                <w:szCs w:val="24"/>
                <w:rtl w:val="0"/>
              </w:rPr>
              <w:t xml:space="preserve">Python, SQL, Figma,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0000"/>
                <w:sz w:val="24"/>
                <w:szCs w:val="24"/>
                <w:rtl w:val="0"/>
              </w:rPr>
              <w:t xml:space="preserve">Hardware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4"/>
                <w:szCs w:val="24"/>
                <w:rtl w:val="0"/>
              </w:rPr>
              <w:t xml:space="preserve">Nil 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203125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Flow Diagram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203125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3895725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203125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Different from the existing solution: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203125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below are the different key features of our idea, that stand unique when compared to the existing products in the market: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2.83203125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Comprehensive Women's Health Focus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Personalization and AI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Community and Support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Evidence-Based Content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User-Friendly Interface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Privacy and Security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Gamification and 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0810546875" w:line="240" w:lineRule="auto"/>
        <w:ind w:left="0.719909667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CONCLUSION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368.56002807617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conclusion, the women-centric healthcare solution represents a pivotal step toward addressing the unique health challenges faced by women. By offering comprehensive tracking, personalized recommendations, educational resources, and a supportive community, this application not only empowers women but also improves their overall quality of life. It underscores the importance of women's health and well-being as a top priority. As we move forward, let's recognize the significance of this endeavor in advancing women's health and ensuring that every woman can take control of her health journey, fostering a healthier and more empowered future for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3201904296875" w:line="240" w:lineRule="auto"/>
        <w:ind w:left="1.439971923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REFERENCES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368.5600280761719" w:right="0" w:firstLine="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[1]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Urteaga, Inigo, Kathy Li, Amanda Shea, Virginia J. Vitzthum, Chris H. Wiggins, and Noémie Elhadad. "A generative modeling approach to calibrated predictions: a use case on menstrual cycle length prediction." In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Machine Learning for Healthcare Conference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pp. 535-566. PMLR, 2021.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368.5600280761719" w:right="0" w:firstLine="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[2] Rego, Rosana CB. "Predictive Modeling of Menstrual Cycle Length: A Time Series Forecasting Approach."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arXiv preprint arXiv:2308.07927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(2023).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368.5600280761719" w:right="0" w:firstLine="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[3] Yu, Jia-Le, Yun-Fei Su, Chen Zhang, Li Jin, Xian-Hua Lin, Lu-Ting Chen, He-Feng Huang, and Yan-Ting Wu. "Tracking of menstrual cycles and prediction of the fertile window via measurements of basal body temperature and heart rate as well as machine-learning algorithms."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Reproductive Biology and Endocrinology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20, no. 1 (2022): 1-12.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368.5600280761719" w:right="0" w:firstLine="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[4] Denny, Amsy, Anita Raj, Ashi Ashok, C. Maneesh Ram, and Remya George. "i-hope: Detection and prediction system for polycystic ovary syndrome (pcos) using machine learning techniques." In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TENCON 2019-2019 IEEE Region 10 Conference (TENCON)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pp. 673-678. IEEE, 2019.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368.5600280761719" w:right="0" w:firstLine="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[5] Thakre, Vaidehi, Shreyas Vedpathak, Kalpana Thakre, and Shilpa Sonawani. "PCOcare: PCOS detection and prediction using machine learning algorithms."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Biosci Biotechnol Res Commun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13, no. 14 (2020): 240-244.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368.5600280761719" w:right="0" w:firstLine="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[6] Mehrotra, Palak, Jyotirmoy Chatterjee, Chandan Chakraborty, Biswanath Ghoshdastidar, and Sudarshan Ghoshdastidar. "Automated screening of polycystic ovary syndrome using machine learning techniques." In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2011 Annual IEEE India Conference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pp. 1-5. IEEE, 2011.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2.7999877929688" w:top="703.20068359375" w:left="1804.3199157714844" w:right="1573.7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