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ACTA DE CONSTITUCIÓN DE EQUIPO / TEAM CHARTER</w:t>
      </w:r>
    </w:p>
    <w:p/>
    <w:p/>
    <w:tbl>
      <w:tblPr>
        <w:tblStyle w:val="TableGrid"/>
        <w:tblW w:type="auto" w:w="0"/>
        <w:tblLook w:firstColumn="1" w:firstRow="1" w:lastColumn="0" w:lastRow="0" w:noHBand="0" w:noVBand="1" w:val="04A0"/>
      </w:tblPr>
      <w:tblGrid>
        <w:gridCol w:w="4320"/>
        <w:gridCol w:w="4320"/>
      </w:tblGrid>
      <w:tr>
        <w:tc>
          <w:tcPr>
            <w:tcW w:type="dxa" w:w="4320"/>
          </w:tcPr>
          <w:p>
            <w:r>
              <w:t>Nombre del Proyecto + # Grupo</w:t>
            </w:r>
          </w:p>
        </w:tc>
        <w:tc>
          <w:tcPr>
            <w:tcW w:type="dxa" w:w="4320"/>
          </w:tcPr>
          <w:p>
            <w:r>
              <w:t>Código de identificación del Proyecto</w:t>
            </w:r>
          </w:p>
        </w:tc>
      </w:tr>
      <w:tr>
        <w:tc>
          <w:tcPr>
            <w:tcW w:type="dxa" w:w="4320"/>
          </w:tcPr>
          <w:p>
            <w:r>
              <w:t>Equipo 8 Gestión de Operaciones TI — Grupo 8</w:t>
            </w:r>
          </w:p>
        </w:tc>
        <w:tc>
          <w:tcPr>
            <w:tcW w:type="dxa" w:w="4320"/>
          </w:tcPr>
          <w:p>
            <w:r>
              <w:t>GPTI_08</w:t>
            </w:r>
          </w:p>
        </w:tc>
      </w:tr>
    </w:tbl>
    <w:p/>
    <w:tbl>
      <w:tblPr>
        <w:tblStyle w:val="TableGrid"/>
        <w:tblW w:type="auto" w:w="0"/>
        <w:tblLook w:firstColumn="1" w:firstRow="1" w:lastColumn="0" w:lastRow="0" w:noHBand="0" w:noVBand="1" w:val="04A0"/>
      </w:tblPr>
      <w:tblGrid>
        <w:gridCol w:w="8640"/>
      </w:tblGrid>
      <w:tr>
        <w:tc>
          <w:tcPr>
            <w:tcW w:type="dxa" w:w="8640"/>
          </w:tcPr>
          <w:p>
            <w:r/>
            <w:r>
              <w:rPr>
                <w:b/>
              </w:rPr>
              <w:t>Valores y principios del equipo del proyecto:</w:t>
            </w:r>
          </w:p>
          <w:p>
            <w:r>
              <w:t>El equipo declara como valores fundamentales la agilidad y la responsabilidad, tanto en el trabajo interno del equipo como en la relación con la contraparte (ayudante guía del curso). La agilidad se traduce en avanzar de forma iterativa, comunicar bloqueos apenas ocurren y mantener el tablero de GitHub Projects actualizado en todo momento. La responsabilidad implica cumplir los compromisos adquiridos en cada tarea, respetar los plazos de revisión acordados y hacerse cargo de las consecuencias cuando no se cumplen.</w:t>
            </w:r>
          </w:p>
        </w:tc>
      </w:tr>
    </w:tbl>
    <w:p/>
    <w:tbl>
      <w:tblPr>
        <w:tblStyle w:val="TableGrid"/>
        <w:tblW w:type="auto" w:w="0"/>
        <w:tblLook w:firstColumn="1" w:firstRow="1" w:lastColumn="0" w:lastRow="0" w:noHBand="0" w:noVBand="1" w:val="04A0"/>
      </w:tblPr>
      <w:tblGrid>
        <w:gridCol w:w="8640"/>
      </w:tblGrid>
      <w:tr>
        <w:tc>
          <w:tcPr>
            <w:tcW w:type="dxa" w:w="8640"/>
          </w:tcPr>
          <w:p>
            <w:r/>
            <w:r>
              <w:rPr>
                <w:b/>
              </w:rPr>
              <w:t>Pautas para las reuniones de gestión del proyecto:</w:t>
            </w:r>
          </w:p>
          <w:p>
            <w:r>
              <w:t>Las decisiones de gestión del proyecto se toman en reunión con el ayudante guía o, cuando no es posible reunirse, a través del grupo de WhatsApp del equipo. Toda decisión relevante tomada en WhatsApp debe quedar fijada (pin) en el chat, y cada integrante debe reaccionar al mensaje para confirmar que quedó informado; la ausencia de reacción no exime de responsabilidad sobre la decisión tomada.</w:t>
            </w:r>
          </w:p>
        </w:tc>
      </w:tr>
    </w:tbl>
    <w:p/>
    <w:tbl>
      <w:tblPr>
        <w:tblStyle w:val="TableGrid"/>
        <w:tblW w:type="auto" w:w="0"/>
        <w:tblLook w:firstColumn="1" w:firstRow="1" w:lastColumn="0" w:lastRow="0" w:noHBand="0" w:noVBand="1" w:val="04A0"/>
      </w:tblPr>
      <w:tblGrid>
        <w:gridCol w:w="8640"/>
      </w:tblGrid>
      <w:tr>
        <w:tc>
          <w:tcPr>
            <w:tcW w:type="dxa" w:w="8640"/>
          </w:tcPr>
          <w:p>
            <w:r/>
            <w:r>
              <w:rPr>
                <w:b/>
              </w:rPr>
              <w:t>Pautas para las comunicaciones del equipo del proyecto:</w:t>
            </w:r>
          </w:p>
          <w:p>
            <w:r>
              <w:t>El seguimiento de tareas se realiza exclusivamente a través de GitHub y GitHub Projects (tablero Kanban del repositorio), donde cada tarea debe reflejar su estado real de avance. Se permite el uso de herramientas de IA como apoyo al desarrollo, siempre que el resultado final cumpla los estándares de calidad definidos por el equipo. La comunicación informal y las decisiones que no requieren reunión se canalizan por el grupo de WhatsApp del equipo, usando fijado de mensajes y reacciones para dejar constancia de que todos quedaron informados.</w:t>
            </w:r>
          </w:p>
        </w:tc>
      </w:tr>
    </w:tbl>
    <w:p/>
    <w:tbl>
      <w:tblPr>
        <w:tblStyle w:val="TableGrid"/>
        <w:tblW w:type="auto" w:w="0"/>
        <w:tblLook w:firstColumn="1" w:firstRow="1" w:lastColumn="0" w:lastRow="0" w:noHBand="0" w:noVBand="1" w:val="04A0"/>
      </w:tblPr>
      <w:tblGrid>
        <w:gridCol w:w="8640"/>
      </w:tblGrid>
      <w:tr>
        <w:tc>
          <w:tcPr>
            <w:tcW w:type="dxa" w:w="8640"/>
          </w:tcPr>
          <w:p>
            <w:r/>
            <w:r>
              <w:rPr>
                <w:b/>
              </w:rPr>
              <w:t>Proceso de toma de decisiones:</w:t>
            </w:r>
          </w:p>
          <w:p>
            <w:r>
              <w:t>Las decisiones se toman por consenso del equipo, preferentemente en reunión con el ayudante guía. Cuando no es posible reunirse, se decide por el grupo de WhatsApp: se plantea la decisión, se fija el mensaje y cada integrante debe reaccionar confirmando su conocimiento o acuerdo. Si no hay consenso, se escala al ayudante guía para su resolución.</w:t>
            </w:r>
          </w:p>
        </w:tc>
      </w:tr>
    </w:tbl>
    <w:p/>
    <w:tbl>
      <w:tblPr>
        <w:tblStyle w:val="TableGrid"/>
        <w:tblW w:type="auto" w:w="0"/>
        <w:tblLook w:firstColumn="1" w:firstRow="1" w:lastColumn="0" w:lastRow="0" w:noHBand="0" w:noVBand="1" w:val="04A0"/>
      </w:tblPr>
      <w:tblGrid>
        <w:gridCol w:w="8640"/>
      </w:tblGrid>
      <w:tr>
        <w:tc>
          <w:tcPr>
            <w:tcW w:type="dxa" w:w="8640"/>
          </w:tcPr>
          <w:p>
            <w:r/>
            <w:r>
              <w:rPr>
                <w:b/>
              </w:rPr>
              <w:t>Enfoque para la gestión y resolución de conflictos:</w:t>
            </w:r>
          </w:p>
          <w:p>
            <w:r>
              <w:t>Estándar de calidad y flujo de revisión: una tarea solo avanza a estado "En Revisión" en el tablero de GitHub Projects cuando cumple todos sus requerimientos, incluyendo pruebas (tests), clean code y aplicación de patrones de diseño cuando corresponda. Una tarea en "En Revisión" debe ser revisada por al menos un integrante adicional del equipo, además de considerar la revisión o comentarios del ayudante guía, antes de darse por completada.</w:t>
            </w:r>
          </w:p>
          <w:p/>
          <w:p>
            <w:r>
              <w:t>Documentación: el avance de cada tarea debe trazarse usando la skill de documentación de sesiones con agentes de IA, de forma de mantener un registro claro del trabajo realizado, y que sirva como insumo para la documentación final del proyecto.</w:t>
            </w:r>
          </w:p>
          <w:p/>
          <w:p>
            <w:r>
              <w:t>Plazos: toda revisión debe resolverse en un máximo de 3 días hábiles. Ninguna tarea puede permanecer sin movimiento en el tablero por más de 1 semana.</w:t>
            </w:r>
          </w:p>
          <w:p/>
          <w:p>
            <w:r>
              <w:t>Manejo de incumplimientos: si se supera alguno de estos plazos, se debe avisar de inmediato al ayudante guía. La primera vez que esto ocurra, se espera una penalización de al menos 1 punto en la entrega correspondiente. Para incumplimientos más graves o reiterados, la sanción se conviene directamente con el ayudante guía caso a caso.</w:t>
            </w:r>
          </w:p>
        </w:tc>
      </w:tr>
    </w:tbl>
    <w:p/>
    <w:tbl>
      <w:tblPr>
        <w:tblStyle w:val="TableGrid"/>
        <w:tblW w:type="auto" w:w="0"/>
        <w:tblLook w:firstColumn="1" w:firstRow="1" w:lastColumn="0" w:lastRow="0" w:noHBand="0" w:noVBand="1" w:val="04A0"/>
      </w:tblPr>
      <w:tblGrid>
        <w:gridCol w:w="8640"/>
      </w:tblGrid>
      <w:tr>
        <w:tc>
          <w:tcPr>
            <w:tcW w:type="dxa" w:w="8640"/>
          </w:tcPr>
          <w:p>
            <w:r/>
            <w:r>
              <w:rPr>
                <w:b/>
              </w:rPr>
              <w:t>Otros acuerdos:</w:t>
            </w:r>
          </w:p>
          <w:p>
            <w:r>
              <w:t>El equipo trabaja bajo control de versiones en GitHub, con GitHub Projects como tablero único de seguimiento. Se autoriza el uso de asistentes de IA en el desarrollo y en la documentación, bajo la condición de que todo el código entregado cumpla con pruebas, clean code y patrones de diseño adecuados, y sea revisado por un integrante distinto de quien lo generó.</w:t>
            </w:r>
          </w:p>
        </w:tc>
      </w:tr>
    </w:tbl>
    <w:p/>
    <w:p>
      <w:r>
        <w:rPr>
          <w:b/>
        </w:rPr>
        <w:t>Control de versiones:</w:t>
      </w:r>
    </w:p>
    <w:tbl>
      <w:tblPr>
        <w:tblStyle w:val="TableGrid"/>
        <w:tblW w:type="auto" w:w="0"/>
        <w:tblLook w:firstColumn="1" w:firstRow="1" w:lastColumn="0" w:lastRow="0" w:noHBand="0" w:noVBand="1" w:val="04A0"/>
      </w:tblPr>
      <w:tblGrid>
        <w:gridCol w:w="4320"/>
        <w:gridCol w:w="4320"/>
      </w:tblGrid>
      <w:tr>
        <w:tc>
          <w:tcPr>
            <w:tcW w:type="dxa" w:w="4320"/>
          </w:tcPr>
          <w:p>
            <w:r>
              <w:t>Versión:</w:t>
            </w:r>
          </w:p>
        </w:tc>
        <w:tc>
          <w:tcPr>
            <w:tcW w:type="dxa" w:w="4320"/>
          </w:tcPr>
          <w:p>
            <w:r>
              <w:t>1.0</w:t>
            </w:r>
          </w:p>
        </w:tc>
      </w:tr>
      <w:tr>
        <w:tc>
          <w:tcPr>
            <w:tcW w:type="dxa" w:w="4320"/>
          </w:tcPr>
          <w:p>
            <w:r>
              <w:t>Elaborado por:</w:t>
            </w:r>
          </w:p>
        </w:tc>
        <w:tc>
          <w:tcPr>
            <w:tcW w:type="dxa" w:w="4320"/>
          </w:tcPr>
          <w:p>
            <w:r>
              <w:t>Patricio Acevedo (con apoyo de Claude Code)</w:t>
            </w:r>
          </w:p>
        </w:tc>
      </w:tr>
      <w:tr>
        <w:tc>
          <w:tcPr>
            <w:tcW w:type="dxa" w:w="4320"/>
          </w:tcPr>
          <w:p>
            <w:r>
              <w:t>Revisado por:</w:t>
            </w:r>
          </w:p>
        </w:tc>
        <w:tc>
          <w:tcPr>
            <w:tcW w:type="dxa" w:w="4320"/>
          </w:tcPr>
          <w:p>
            <w:r/>
          </w:p>
        </w:tc>
      </w:tr>
      <w:tr>
        <w:tc>
          <w:tcPr>
            <w:tcW w:type="dxa" w:w="4320"/>
          </w:tcPr>
          <w:p>
            <w:r>
              <w:t>Aprobado por:</w:t>
            </w:r>
          </w:p>
        </w:tc>
        <w:tc>
          <w:tcPr>
            <w:tcW w:type="dxa" w:w="4320"/>
          </w:tcPr>
          <w:p>
            <w:r/>
          </w:p>
        </w:tc>
      </w:tr>
      <w:tr>
        <w:tc>
          <w:tcPr>
            <w:tcW w:type="dxa" w:w="4320"/>
          </w:tcPr>
          <w:p>
            <w:r>
              <w:t>Fecha de aprobación:</w:t>
            </w:r>
          </w:p>
        </w:tc>
        <w:tc>
          <w:tcPr>
            <w:tcW w:type="dxa" w:w="4320"/>
          </w:tcPr>
          <w:p>
            <w:r/>
          </w:p>
        </w:tc>
      </w:tr>
    </w:tbl>
    <w:p>
      <w:r>
        <w:br w:type="page"/>
      </w:r>
    </w:p>
    <w:p>
      <w:r>
        <w:rPr>
          <w:b/>
          <w:sz w:val="28"/>
        </w:rPr>
        <w:t>ANEXO: Firma de los integrantes del equipo y del ayudante guía</w:t>
      </w:r>
    </w:p>
    <w:p>
      <w:r>
        <w:t>Con su firma, cada integrante del equipo y el ayudante guía dejan constancia de haber leído, acordado y validado el contenido de esta Acta de Constitución de Equipo como marco de trabajo para el desarrollo del proyecto.</w:t>
      </w:r>
    </w:p>
    <w:p/>
    <w:tbl>
      <w:tblPr>
        <w:tblStyle w:val="TableGrid"/>
        <w:tblW w:type="auto" w:w="0"/>
        <w:tblLook w:firstColumn="1" w:firstRow="1" w:lastColumn="0" w:lastRow="0" w:noHBand="0" w:noVBand="1" w:val="04A0"/>
      </w:tblPr>
      <w:tblGrid>
        <w:gridCol w:w="2880"/>
        <w:gridCol w:w="2880"/>
        <w:gridCol w:w="2880"/>
      </w:tblGrid>
      <w:tr>
        <w:tc>
          <w:tcPr>
            <w:tcW w:type="dxa" w:w="2880"/>
          </w:tcPr>
          <w:p>
            <w:r>
              <w:t>Nombre</w:t>
            </w:r>
          </w:p>
        </w:tc>
        <w:tc>
          <w:tcPr>
            <w:tcW w:type="dxa" w:w="2880"/>
          </w:tcPr>
          <w:p>
            <w:r>
              <w:t>Firma</w:t>
            </w:r>
          </w:p>
        </w:tc>
        <w:tc>
          <w:tcPr>
            <w:tcW w:type="dxa" w:w="2880"/>
          </w:tcPr>
          <w:p>
            <w:r>
              <w:t>Fecha</w:t>
            </w:r>
          </w:p>
        </w:tc>
      </w:tr>
      <w:tr>
        <w:tc>
          <w:tcPr>
            <w:tcW w:type="dxa" w:w="2880"/>
          </w:tcPr>
          <w:p>
            <w:r>
              <w:t>Martina Antonia Abello Sánchez</w:t>
            </w:r>
          </w:p>
        </w:tc>
        <w:tc>
          <w:tcPr>
            <w:tcW w:type="dxa" w:w="2880"/>
          </w:tcPr>
          <w:p>
            <w:r/>
          </w:p>
        </w:tc>
        <w:tc>
          <w:tcPr>
            <w:tcW w:type="dxa" w:w="2880"/>
          </w:tcPr>
          <w:p>
            <w:r/>
          </w:p>
        </w:tc>
      </w:tr>
      <w:tr>
        <w:tc>
          <w:tcPr>
            <w:tcW w:type="dxa" w:w="2880"/>
          </w:tcPr>
          <w:p>
            <w:r>
              <w:t>Patricio Andrés Acevedo Flores</w:t>
            </w:r>
          </w:p>
        </w:tc>
        <w:tc>
          <w:tcPr>
            <w:tcW w:type="dxa" w:w="2880"/>
          </w:tcPr>
          <w:p>
            <w:r/>
          </w:p>
        </w:tc>
        <w:tc>
          <w:tcPr>
            <w:tcW w:type="dxa" w:w="2880"/>
          </w:tcPr>
          <w:p>
            <w:r/>
          </w:p>
        </w:tc>
      </w:tr>
      <w:tr>
        <w:tc>
          <w:tcPr>
            <w:tcW w:type="dxa" w:w="2880"/>
          </w:tcPr>
          <w:p>
            <w:r>
              <w:t>Matías Felipe Acuña Osses</w:t>
            </w:r>
          </w:p>
        </w:tc>
        <w:tc>
          <w:tcPr>
            <w:tcW w:type="dxa" w:w="2880"/>
          </w:tcPr>
          <w:p>
            <w:r/>
          </w:p>
        </w:tc>
        <w:tc>
          <w:tcPr>
            <w:tcW w:type="dxa" w:w="2880"/>
          </w:tcPr>
          <w:p>
            <w:r/>
          </w:p>
        </w:tc>
      </w:tr>
      <w:tr>
        <w:tc>
          <w:tcPr>
            <w:tcW w:type="dxa" w:w="2880"/>
          </w:tcPr>
          <w:p>
            <w:r>
              <w:t>Francisco Ignacio Bastías Carnot</w:t>
            </w:r>
          </w:p>
        </w:tc>
        <w:tc>
          <w:tcPr>
            <w:tcW w:type="dxa" w:w="2880"/>
          </w:tcPr>
          <w:p>
            <w:r/>
          </w:p>
        </w:tc>
        <w:tc>
          <w:tcPr>
            <w:tcW w:type="dxa" w:w="2880"/>
          </w:tcPr>
          <w:p>
            <w:r/>
          </w:p>
        </w:tc>
      </w:tr>
      <w:tr>
        <w:tc>
          <w:tcPr>
            <w:tcW w:type="dxa" w:w="2880"/>
          </w:tcPr>
          <w:p>
            <w:r>
              <w:t>Cristián José Gandarillas Soza</w:t>
            </w:r>
          </w:p>
        </w:tc>
        <w:tc>
          <w:tcPr>
            <w:tcW w:type="dxa" w:w="2880"/>
          </w:tcPr>
          <w:p>
            <w:r/>
          </w:p>
        </w:tc>
        <w:tc>
          <w:tcPr>
            <w:tcW w:type="dxa" w:w="2880"/>
          </w:tcPr>
          <w:p>
            <w:r/>
          </w:p>
        </w:tc>
      </w:tr>
      <w:tr>
        <w:tc>
          <w:tcPr>
            <w:tcW w:type="dxa" w:w="2880"/>
          </w:tcPr>
          <w:p>
            <w:r>
              <w:t>Ignacia Nuyens Gotelli</w:t>
            </w:r>
          </w:p>
        </w:tc>
        <w:tc>
          <w:tcPr>
            <w:tcW w:type="dxa" w:w="2880"/>
          </w:tcPr>
          <w:p>
            <w:r/>
          </w:p>
        </w:tc>
        <w:tc>
          <w:tcPr>
            <w:tcW w:type="dxa" w:w="2880"/>
          </w:tcPr>
          <w:p>
            <w:r/>
          </w:p>
        </w:tc>
      </w:tr>
      <w:tr>
        <w:tc>
          <w:tcPr>
            <w:tcW w:type="dxa" w:w="2880"/>
          </w:tcPr>
          <w:p>
            <w:r>
              <w:t>Ayudante guía</w:t>
            </w:r>
          </w:p>
        </w:tc>
        <w:tc>
          <w:tcPr>
            <w:tcW w:type="dxa" w:w="2880"/>
          </w:tcPr>
          <w:p>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