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uc_logo.png"/>
                    <pic:cNvPicPr/>
                  </pic:nvPicPr>
                  <pic:blipFill>
                    <a:blip r:embed="rId11"/>
                    <a:stretch>
                      <a:fillRect/>
                    </a:stretch>
                  </pic:blipFill>
                  <pic:spPr>
                    <a:xfrm>
                      <a:off x="0" y="0"/>
                      <a:ext cx="1152000" cy="1152000"/>
                    </a:xfrm>
                    <a:prstGeom prst="rect"/>
                  </pic:spPr>
                </pic:pic>
              </a:graphicData>
            </a:graphic>
          </wp:inline>
        </w:drawing>
      </w:r>
    </w:p>
    <w:p/>
    <w:p>
      <w:pPr>
        <w:spacing w:before="240"/>
        <w:jc w:val="center"/>
      </w:pPr>
      <w:r>
        <w:rPr>
          <w:b/>
          <w:color w:val="002F6C"/>
          <w:sz w:val="40"/>
        </w:rPr>
        <w:t>ACTA DE CONSTITUCIÓN DE EQUIPO</w:t>
      </w:r>
    </w:p>
    <w:p>
      <w:pPr>
        <w:jc w:val="center"/>
      </w:pPr>
      <w:r>
        <w:rPr>
          <w:i/>
          <w:color w:val="B8860B"/>
          <w:sz w:val="26"/>
        </w:rPr>
        <w:t>Team Charter</w:t>
      </w:r>
    </w:p>
    <w:p/>
    <w:p>
      <w:pPr>
        <w:jc w:val="center"/>
      </w:pPr>
      <w:r>
        <w:rPr>
          <w:b/>
          <w:sz w:val="26"/>
        </w:rPr>
        <w:t>Equipo 8 · Gestión de Operaciones TI</w:t>
      </w:r>
    </w:p>
    <w:p>
      <w:pPr>
        <w:jc w:val="center"/>
      </w:pPr>
      <w:r>
        <w:rPr>
          <w:color w:val="5A5A5A"/>
          <w:sz w:val="22"/>
        </w:rPr>
        <w:t>Gestión de Proyectos TI (IIC3753)</w:t>
      </w:r>
    </w:p>
    <w:p>
      <w:r>
        <w:br w:type="page"/>
      </w:r>
    </w:p>
    <w:p>
      <w:pPr>
        <w:pStyle w:val="Heading1"/>
        <w:spacing w:before="280" w:after="80"/>
        <w:pBdr>
          <w:bottom w:val="single" w:sz="6" w:space="2" w:color="002F6C"/>
        </w:pBdr>
      </w:pPr>
      <w:r>
        <w:rPr>
          <w:b/>
          <w:color w:val="002F6C"/>
          <w:sz w:val="26"/>
        </w:rPr>
        <w:t>Control de versiones</w:t>
      </w:r>
    </w:p>
    <w:tbl>
      <w:tblPr>
        <w:tblStyle w:val="TableGrid"/>
        <w:tblW w:type="auto" w:w="0"/>
        <w:jc w:val="center"/>
        <w:tblLook w:firstColumn="1" w:firstRow="1" w:lastColumn="0" w:lastRow="0" w:noHBand="0" w:noVBand="1" w:val="04A0"/>
      </w:tblPr>
      <w:tblGrid>
        <w:gridCol w:w="4703"/>
        <w:gridCol w:w="4703"/>
      </w:tblGrid>
      <w:tr>
        <w:tc>
          <w:tcPr>
            <w:tcW w:type="dxa" w:w="4703"/>
            <w:tcMar>
              <w:top w:w="100" w:type="dxa"/>
              <w:bottom w:w="100" w:type="dxa"/>
              <w:left w:w="150" w:type="dxa"/>
              <w:right w:w="150" w:type="dxa"/>
            </w:tcMar>
            <w:shd w:val="clear" w:color="auto" w:fill="F2F2F2"/>
          </w:tcPr>
          <w:p>
            <w:r/>
            <w:r>
              <w:rPr>
                <w:b/>
              </w:rPr>
              <w:t>Versión:</w:t>
            </w:r>
          </w:p>
        </w:tc>
        <w:tc>
          <w:tcPr>
            <w:tcW w:type="dxa" w:w="4703"/>
            <w:tcMar>
              <w:top w:w="100" w:type="dxa"/>
              <w:bottom w:w="100" w:type="dxa"/>
              <w:left w:w="150" w:type="dxa"/>
              <w:right w:w="150" w:type="dxa"/>
            </w:tcMar>
          </w:tcPr>
          <w:p>
            <w:r/>
            <w:r>
              <w:rPr>
                <w:b w:val="0"/>
              </w:rPr>
              <w:t>1.0</w:t>
            </w:r>
          </w:p>
        </w:tc>
      </w:tr>
      <w:tr>
        <w:tc>
          <w:tcPr>
            <w:tcW w:type="dxa" w:w="4703"/>
            <w:tcMar>
              <w:top w:w="100" w:type="dxa"/>
              <w:bottom w:w="100" w:type="dxa"/>
              <w:left w:w="150" w:type="dxa"/>
              <w:right w:w="150" w:type="dxa"/>
            </w:tcMar>
            <w:shd w:val="clear" w:color="auto" w:fill="F2F2F2"/>
          </w:tcPr>
          <w:p>
            <w:r/>
            <w:r>
              <w:rPr>
                <w:b/>
              </w:rPr>
              <w:t>Elaborado por:</w:t>
            </w:r>
          </w:p>
        </w:tc>
        <w:tc>
          <w:tcPr>
            <w:tcW w:type="dxa" w:w="4703"/>
            <w:tcMar>
              <w:top w:w="100" w:type="dxa"/>
              <w:bottom w:w="100" w:type="dxa"/>
              <w:left w:w="150" w:type="dxa"/>
              <w:right w:w="150" w:type="dxa"/>
            </w:tcMar>
          </w:tcPr>
          <w:p>
            <w:r/>
            <w:r>
              <w:rPr>
                <w:b w:val="0"/>
              </w:rPr>
              <w:t>Patricio Acevedo (con apoyo de Claude Code)</w:t>
            </w:r>
          </w:p>
        </w:tc>
      </w:tr>
      <w:tr>
        <w:tc>
          <w:tcPr>
            <w:tcW w:type="dxa" w:w="4703"/>
            <w:tcMar>
              <w:top w:w="100" w:type="dxa"/>
              <w:bottom w:w="100" w:type="dxa"/>
              <w:left w:w="150" w:type="dxa"/>
              <w:right w:w="150" w:type="dxa"/>
            </w:tcMar>
            <w:shd w:val="clear" w:color="auto" w:fill="F2F2F2"/>
          </w:tcPr>
          <w:p>
            <w:r/>
            <w:r>
              <w:rPr>
                <w:b/>
              </w:rPr>
              <w:t>Revisado por:</w:t>
            </w:r>
          </w:p>
        </w:tc>
        <w:tc>
          <w:tcPr>
            <w:tcW w:type="dxa" w:w="4703"/>
            <w:tcMar>
              <w:top w:w="100" w:type="dxa"/>
              <w:bottom w:w="100" w:type="dxa"/>
              <w:left w:w="150" w:type="dxa"/>
              <w:right w:w="150" w:type="dxa"/>
            </w:tcMar>
          </w:tcPr>
          <w:p>
            <w:r/>
            <w:r>
              <w:rPr>
                <w:b w:val="0"/>
              </w:rPr>
            </w:r>
          </w:p>
        </w:tc>
      </w:tr>
      <w:tr>
        <w:tc>
          <w:tcPr>
            <w:tcW w:type="dxa" w:w="4703"/>
            <w:tcMar>
              <w:top w:w="100" w:type="dxa"/>
              <w:bottom w:w="100" w:type="dxa"/>
              <w:left w:w="150" w:type="dxa"/>
              <w:right w:w="150" w:type="dxa"/>
            </w:tcMar>
            <w:shd w:val="clear" w:color="auto" w:fill="F2F2F2"/>
          </w:tcPr>
          <w:p>
            <w:r/>
            <w:r>
              <w:rPr>
                <w:b/>
              </w:rPr>
              <w:t>Aprobado por:</w:t>
            </w:r>
          </w:p>
        </w:tc>
        <w:tc>
          <w:tcPr>
            <w:tcW w:type="dxa" w:w="4703"/>
            <w:tcMar>
              <w:top w:w="100" w:type="dxa"/>
              <w:bottom w:w="100" w:type="dxa"/>
              <w:left w:w="150" w:type="dxa"/>
              <w:right w:w="150" w:type="dxa"/>
            </w:tcMar>
          </w:tcPr>
          <w:p>
            <w:r/>
            <w:r>
              <w:rPr>
                <w:b w:val="0"/>
              </w:rPr>
            </w:r>
          </w:p>
        </w:tc>
      </w:tr>
      <w:tr>
        <w:tc>
          <w:tcPr>
            <w:tcW w:type="dxa" w:w="4703"/>
            <w:tcMar>
              <w:top w:w="100" w:type="dxa"/>
              <w:bottom w:w="100" w:type="dxa"/>
              <w:left w:w="150" w:type="dxa"/>
              <w:right w:w="150" w:type="dxa"/>
            </w:tcMar>
            <w:shd w:val="clear" w:color="auto" w:fill="F2F2F2"/>
          </w:tcPr>
          <w:p>
            <w:r/>
            <w:r>
              <w:rPr>
                <w:b/>
              </w:rPr>
              <w:t>Fecha de aprobación:</w:t>
            </w:r>
          </w:p>
        </w:tc>
        <w:tc>
          <w:tcPr>
            <w:tcW w:type="dxa" w:w="4703"/>
            <w:tcMar>
              <w:top w:w="100" w:type="dxa"/>
              <w:bottom w:w="100" w:type="dxa"/>
              <w:left w:w="150" w:type="dxa"/>
              <w:right w:w="150" w:type="dxa"/>
            </w:tcMar>
          </w:tcPr>
          <w:p>
            <w:r/>
            <w:r>
              <w:rPr>
                <w:b w:val="0"/>
              </w:rPr>
            </w:r>
          </w:p>
        </w:tc>
      </w:tr>
    </w:tbl>
    <w:p>
      <w:r>
        <w:br w:type="page"/>
      </w:r>
    </w:p>
    <w:p>
      <w:pPr>
        <w:pStyle w:val="Heading1"/>
        <w:spacing w:before="280" w:after="80"/>
        <w:pBdr>
          <w:bottom w:val="single" w:sz="6" w:space="2" w:color="002F6C"/>
        </w:pBdr>
      </w:pPr>
      <w:r>
        <w:rPr>
          <w:b/>
          <w:color w:val="002F6C"/>
          <w:sz w:val="26"/>
        </w:rPr>
        <w:t>Tabla de contenidos</w:t>
      </w:r>
    </w:p>
    <w:p>
      <w:r>
        <w:fldChar w:fldCharType="begin"/>
        <w:instrText xml:space="preserve">TOC \o "1-3" \h \z \u</w:instrText>
      </w:r>
      <w:r>
        <w:fldChar w:fldCharType="separate"/>
      </w:r>
      <w:r>
        <w:rPr>
          <w:i/>
          <w:color w:val="787878"/>
          <w:sz w:val="20"/>
        </w:rPr>
        <w:t>(Tabla de contenidos: abrir en Word, seleccionar todo con Ctrl+A y presionar F9 para generarla — o clic derecho sobre este texto → Actualizar campo)</w:t>
      </w:r>
      <w:r>
        <w:fldChar w:fldCharType="end"/>
      </w:r>
    </w:p>
    <w:p>
      <w:r>
        <w:br w:type="page"/>
      </w:r>
    </w:p>
    <w:p>
      <w:pPr>
        <w:pStyle w:val="Heading1"/>
        <w:spacing w:before="280" w:after="80"/>
        <w:pBdr>
          <w:bottom w:val="single" w:sz="6" w:space="2" w:color="002F6C"/>
        </w:pBdr>
      </w:pPr>
      <w:r>
        <w:rPr>
          <w:b/>
          <w:color w:val="002F6C"/>
          <w:sz w:val="26"/>
        </w:rPr>
        <w:t>Identificación del proyecto</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002F6C"/>
            <w:tcMar>
              <w:top w:w="100" w:type="dxa"/>
              <w:bottom w:w="100" w:type="dxa"/>
              <w:left w:w="150" w:type="dxa"/>
              <w:right w:w="150" w:type="dxa"/>
            </w:tcMar>
          </w:tcPr>
          <w:p>
            <w:pPr>
              <w:jc w:val="center"/>
            </w:pPr>
            <w:r/>
            <w:r>
              <w:rPr>
                <w:b/>
                <w:color w:val="FFFFFF"/>
              </w:rPr>
              <w:t>Nombre del Proyecto + # Grupo</w:t>
            </w:r>
          </w:p>
        </w:tc>
        <w:tc>
          <w:tcPr>
            <w:tcW w:type="dxa" w:w="4703"/>
            <w:shd w:val="clear" w:color="auto" w:fill="002F6C"/>
            <w:tcMar>
              <w:top w:w="100" w:type="dxa"/>
              <w:bottom w:w="100" w:type="dxa"/>
              <w:left w:w="150" w:type="dxa"/>
              <w:right w:w="150" w:type="dxa"/>
            </w:tcMar>
          </w:tcPr>
          <w:p>
            <w:pPr>
              <w:jc w:val="center"/>
            </w:pPr>
            <w:r/>
            <w:r>
              <w:rPr>
                <w:b/>
                <w:color w:val="FFFFFF"/>
              </w:rPr>
              <w:t>Código de identificación del Proyecto</w:t>
            </w:r>
          </w:p>
        </w:tc>
      </w:tr>
      <w:tr>
        <w:tc>
          <w:tcPr>
            <w:tcW w:type="dxa" w:w="4703"/>
            <w:tcMar>
              <w:top w:w="100" w:type="dxa"/>
              <w:bottom w:w="100" w:type="dxa"/>
              <w:left w:w="150" w:type="dxa"/>
              <w:right w:w="150" w:type="dxa"/>
            </w:tcMar>
          </w:tcPr>
          <w:p>
            <w:r/>
            <w:r>
              <w:rPr>
                <w:b w:val="0"/>
              </w:rPr>
              <w:t>Equipo 8 Gestión de Operaciones TI — Grupo 8</w:t>
            </w:r>
          </w:p>
        </w:tc>
        <w:tc>
          <w:tcPr>
            <w:tcW w:type="dxa" w:w="4703"/>
            <w:tcMar>
              <w:top w:w="100" w:type="dxa"/>
              <w:bottom w:w="100" w:type="dxa"/>
              <w:left w:w="150" w:type="dxa"/>
              <w:right w:w="150" w:type="dxa"/>
            </w:tcMar>
          </w:tcPr>
          <w:p>
            <w:r/>
            <w:r>
              <w:rPr>
                <w:b w:val="0"/>
              </w:rPr>
              <w:t>GPTI_08</w:t>
            </w:r>
          </w:p>
        </w:tc>
      </w:tr>
    </w:tbl>
    <w:p>
      <w:pPr>
        <w:spacing w:after="40"/>
      </w:pPr>
    </w:p>
    <w:p>
      <w:pPr>
        <w:pStyle w:val="Heading1"/>
        <w:spacing w:before="280" w:after="80"/>
        <w:pBdr>
          <w:bottom w:val="single" w:sz="6" w:space="2" w:color="002F6C"/>
        </w:pBdr>
      </w:pPr>
      <w:r>
        <w:rPr>
          <w:b/>
          <w:color w:val="002F6C"/>
          <w:sz w:val="26"/>
        </w:rPr>
        <w:t>Valores y principios del equipo del proyecto</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El equipo declara como valores fundamentales la agilidad y la responsabilidad, tanto en el trabajo interno del equipo como en la relación con la contraparte (ayudante guía del curso). La agilidad se traduce en avanzar de forma iterativa, comunicar bloqueos apenas ocurren y mantener el tablero de GitHub Projects actualizado en todo momento. La responsabilidad implica cumplir los compromisos adquiridos en cada tarea, respetar los plazos de revisión acordados y hacerse cargo de las consecuencias cuando no se cumplen.</w:t>
            </w:r>
          </w:p>
        </w:tc>
      </w:tr>
    </w:tbl>
    <w:p>
      <w:pPr>
        <w:spacing w:after="40"/>
      </w:pPr>
    </w:p>
    <w:p>
      <w:pPr>
        <w:pStyle w:val="Heading1"/>
        <w:spacing w:before="280" w:after="80"/>
        <w:pBdr>
          <w:bottom w:val="single" w:sz="6" w:space="2" w:color="002F6C"/>
        </w:pBdr>
      </w:pPr>
      <w:r>
        <w:rPr>
          <w:b/>
          <w:color w:val="002F6C"/>
          <w:sz w:val="26"/>
        </w:rPr>
        <w:t>Pautas para las reuniones de gestión del proyecto</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Las decisiones de gestión del proyecto se toman en reunión con el ayudante guía o, cuando no es posible reunirse, a través del grupo de WhatsApp del equipo. Toda decisión relevante tomada en WhatsApp debe quedar fijada (pin) en el chat, y cada integrante debe reaccionar al mensaje para confirmar que quedó informado; la ausencia de reacción no exime de responsabilidad sobre la decisión tomada.</w:t>
            </w:r>
          </w:p>
        </w:tc>
      </w:tr>
    </w:tbl>
    <w:p>
      <w:pPr>
        <w:spacing w:after="40"/>
      </w:pPr>
    </w:p>
    <w:p>
      <w:pPr>
        <w:pStyle w:val="Heading1"/>
        <w:spacing w:before="280" w:after="80"/>
        <w:pBdr>
          <w:bottom w:val="single" w:sz="6" w:space="2" w:color="002F6C"/>
        </w:pBdr>
      </w:pPr>
      <w:r>
        <w:rPr>
          <w:b/>
          <w:color w:val="002F6C"/>
          <w:sz w:val="26"/>
        </w:rPr>
        <w:t>Pautas para las comunicaciones del equipo del proyecto</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El seguimiento de tareas se realiza exclusivamente a través de GitHub y GitHub Projects (tablero Kanban del repositorio), donde cada tarea debe reflejar su estado real de avance. Se permite el uso de herramientas de IA como apoyo al desarrollo, siempre que el resultado final cumpla los estándares de calidad definidos por el equipo. La comunicación informal y las decisiones que no requieren reunión se canalizan por el grupo de WhatsApp del equipo, usando fijado de mensajes y reacciones para dejar constancia de que todos quedaron informados.</w:t>
            </w:r>
          </w:p>
        </w:tc>
      </w:tr>
    </w:tbl>
    <w:p>
      <w:pPr>
        <w:spacing w:after="40"/>
      </w:pPr>
    </w:p>
    <w:p>
      <w:pPr>
        <w:pStyle w:val="Heading1"/>
        <w:spacing w:before="280" w:after="80"/>
        <w:pBdr>
          <w:bottom w:val="single" w:sz="6" w:space="2" w:color="002F6C"/>
        </w:pBdr>
      </w:pPr>
      <w:r>
        <w:rPr>
          <w:b/>
          <w:color w:val="002F6C"/>
          <w:sz w:val="26"/>
        </w:rPr>
        <w:t>Proceso de toma de decisiones</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Las decisiones se toman por consenso del equipo, preferentemente en reunión con el ayudante guía. Cuando no es posible reunirse, se decide por el grupo de WhatsApp: se plantea la decisión, se fija el mensaje y cada integrante debe reaccionar confirmando su conocimiento o acuerdo. Si no hay consenso, se escala al ayudante guía para su resolución.</w:t>
            </w:r>
          </w:p>
        </w:tc>
      </w:tr>
    </w:tbl>
    <w:p>
      <w:pPr>
        <w:spacing w:after="40"/>
      </w:pPr>
    </w:p>
    <w:p>
      <w:pPr>
        <w:pStyle w:val="Heading1"/>
        <w:spacing w:before="280" w:after="80"/>
        <w:pBdr>
          <w:bottom w:val="single" w:sz="6" w:space="2" w:color="002F6C"/>
        </w:pBdr>
      </w:pPr>
      <w:r>
        <w:rPr>
          <w:b/>
          <w:color w:val="002F6C"/>
          <w:sz w:val="26"/>
        </w:rPr>
        <w:t>Enfoque para la gestión y resolución de conflictos</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Estándar de calidad y flujo de revisión: una tarea solo avanza a estado “En Revisión” en el tablero de GitHub Projects cuando cumple todos sus requerimientos, incluyendo pruebas (tests), clean code y aplicación de patrones de diseño cuando corresponda. Una tarea en “En Revisión” debe ser revisada por al menos un integrante adicional del equipo, además de considerar la revisión o comentarios del ayudante guía, antes de darse por completada.</w:t>
            </w:r>
          </w:p>
          <w:p>
            <w:pPr>
              <w:spacing w:line="276" w:lineRule="auto" w:after="120"/>
            </w:pPr>
            <w:r>
              <w:rPr>
                <w:sz w:val="21"/>
              </w:rPr>
            </w:r>
          </w:p>
          <w:p>
            <w:pPr>
              <w:spacing w:line="276" w:lineRule="auto" w:after="120"/>
            </w:pPr>
            <w:r>
              <w:rPr>
                <w:sz w:val="21"/>
              </w:rPr>
              <w:t>Documentación: el avance de cada tarea debe trazarse usando la skill de documentación de sesiones con agentes de IA, de forma de mantener un registro claro del trabajo realizado, y que sirva como insumo para la documentación final del proyecto.</w:t>
            </w:r>
          </w:p>
          <w:p>
            <w:pPr>
              <w:spacing w:line="276" w:lineRule="auto" w:after="120"/>
            </w:pPr>
            <w:r>
              <w:rPr>
                <w:sz w:val="21"/>
              </w:rPr>
            </w:r>
          </w:p>
          <w:p>
            <w:pPr>
              <w:spacing w:line="276" w:lineRule="auto" w:after="120"/>
            </w:pPr>
            <w:r>
              <w:rPr>
                <w:sz w:val="21"/>
              </w:rPr>
              <w:t>Plazos: toda revisión debe resolverse en un máximo de 3 días hábiles. Ninguna tarea puede permanecer sin movimiento en el tablero por más de 1 semana.</w:t>
            </w:r>
          </w:p>
          <w:p>
            <w:pPr>
              <w:spacing w:line="276" w:lineRule="auto" w:after="120"/>
            </w:pPr>
            <w:r>
              <w:rPr>
                <w:sz w:val="21"/>
              </w:rPr>
            </w:r>
          </w:p>
          <w:p>
            <w:pPr>
              <w:spacing w:line="276" w:lineRule="auto" w:after="120"/>
            </w:pPr>
            <w:r>
              <w:rPr>
                <w:sz w:val="21"/>
              </w:rPr>
              <w:t>Manejo de incumplimientos: si se supera alguno de estos plazos, se debe avisar de inmediato al ayudante guía. La primera vez que esto ocurra, se espera una penalización de al menos 1 punto en la entrega correspondiente. Para incumplimientos más graves o reiterados, la sanción se conviene directamente con el ayudante guía caso a caso.</w:t>
            </w:r>
          </w:p>
        </w:tc>
      </w:tr>
    </w:tbl>
    <w:p>
      <w:pPr>
        <w:spacing w:after="40"/>
      </w:pPr>
    </w:p>
    <w:p>
      <w:pPr>
        <w:pStyle w:val="Heading1"/>
        <w:spacing w:before="280" w:after="80"/>
        <w:pBdr>
          <w:bottom w:val="single" w:sz="6" w:space="2" w:color="002F6C"/>
        </w:pBdr>
      </w:pPr>
      <w:r>
        <w:rPr>
          <w:b/>
          <w:color w:val="002F6C"/>
          <w:sz w:val="26"/>
        </w:rPr>
        <w:t>Otros acuerdos</w:t>
      </w:r>
    </w:p>
    <w:tbl>
      <w:tblPr>
        <w:tblStyle w:val="TableGrid"/>
        <w:tblW w:type="auto" w:w="0"/>
        <w:jc w:val="center"/>
        <w:tblLook w:firstColumn="1" w:firstRow="1" w:lastColumn="0" w:lastRow="0" w:noHBand="0" w:noVBand="1" w:val="04A0"/>
      </w:tblPr>
      <w:tblGrid>
        <w:gridCol w:w="9406"/>
      </w:tblGrid>
      <w:tr>
        <w:tc>
          <w:tcPr>
            <w:tcW w:type="dxa" w:w="9406"/>
            <w:tcMar>
              <w:top w:w="100" w:type="dxa"/>
              <w:bottom w:w="100" w:type="dxa"/>
              <w:left w:w="150" w:type="dxa"/>
              <w:right w:w="150" w:type="dxa"/>
            </w:tcMar>
          </w:tcPr>
          <w:p>
            <w:pPr>
              <w:spacing w:line="276" w:lineRule="auto" w:after="120"/>
            </w:pPr>
            <w:r/>
            <w:r>
              <w:rPr>
                <w:sz w:val="21"/>
              </w:rPr>
              <w:t>El equipo trabaja bajo control de versiones en GitHub, con GitHub Projects como tablero único de seguimiento. Se autoriza el uso de asistentes de IA en el desarrollo y en la documentación, bajo la condición de que todo el código entregado cumpla con pruebas, clean code y patrones de diseño adecuados, y sea revisado por un integrante distinto de quien lo generó.</w:t>
            </w:r>
          </w:p>
        </w:tc>
      </w:tr>
    </w:tbl>
    <w:p>
      <w:pPr>
        <w:spacing w:after="40"/>
      </w:pPr>
    </w:p>
    <w:p>
      <w:r>
        <w:br w:type="page"/>
      </w:r>
    </w:p>
    <w:p>
      <w:pPr>
        <w:jc w:val="center"/>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uc_logo.png"/>
                    <pic:cNvPicPr/>
                  </pic:nvPicPr>
                  <pic:blipFill>
                    <a:blip r:embed="rId11"/>
                    <a:stretch>
                      <a:fillRect/>
                    </a:stretch>
                  </pic:blipFill>
                  <pic:spPr>
                    <a:xfrm>
                      <a:off x="0" y="0"/>
                      <a:ext cx="576000" cy="576000"/>
                    </a:xfrm>
                    <a:prstGeom prst="rect"/>
                  </pic:spPr>
                </pic:pic>
              </a:graphicData>
            </a:graphic>
          </wp:inline>
        </w:drawing>
      </w:r>
    </w:p>
    <w:p>
      <w:pPr>
        <w:pStyle w:val="Heading1"/>
        <w:spacing w:before="280" w:after="80"/>
        <w:pBdr>
          <w:bottom w:val="single" w:sz="6" w:space="2" w:color="002F6C"/>
        </w:pBdr>
      </w:pPr>
      <w:r>
        <w:rPr>
          <w:b/>
          <w:color w:val="002F6C"/>
          <w:sz w:val="30"/>
        </w:rPr>
        <w:t>ANEXO: Firma de los integrantes del equipo y del ayudante guía</w:t>
      </w:r>
    </w:p>
    <w:p>
      <w:pPr>
        <w:spacing w:after="200"/>
      </w:pPr>
      <w:r>
        <w:t>Con su firma, cada integrante del equipo y el ayudante guía dejan constancia de haber leído, acordado y validado el contenido de esta Acta de Constitución de Equipo como marco de trabajo para el desarrollo del proyecto.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02F6C"/>
            <w:tcMar>
              <w:top w:w="100" w:type="dxa"/>
              <w:bottom w:w="100" w:type="dxa"/>
              <w:left w:w="150" w:type="dxa"/>
              <w:right w:w="150" w:type="dxa"/>
            </w:tcMar>
          </w:tcPr>
          <w:p>
            <w:pPr>
              <w:jc w:val="center"/>
            </w:pPr>
            <w:r/>
            <w:r>
              <w:rPr>
                <w:b/>
                <w:color w:val="FFFFFF"/>
              </w:rPr>
              <w:t>Nombre</w:t>
            </w:r>
          </w:p>
        </w:tc>
        <w:tc>
          <w:tcPr>
            <w:tcW w:type="dxa" w:w="3135"/>
            <w:shd w:val="clear" w:color="auto" w:fill="002F6C"/>
            <w:tcMar>
              <w:top w:w="100" w:type="dxa"/>
              <w:bottom w:w="100" w:type="dxa"/>
              <w:left w:w="150" w:type="dxa"/>
              <w:right w:w="150" w:type="dxa"/>
            </w:tcMar>
          </w:tcPr>
          <w:p>
            <w:pPr>
              <w:jc w:val="center"/>
            </w:pPr>
            <w:r/>
            <w:r>
              <w:rPr>
                <w:b/>
                <w:color w:val="FFFFFF"/>
              </w:rPr>
              <w:t>Firma</w:t>
            </w:r>
          </w:p>
        </w:tc>
        <w:tc>
          <w:tcPr>
            <w:tcW w:type="dxa" w:w="3135"/>
            <w:shd w:val="clear" w:color="auto" w:fill="002F6C"/>
            <w:tcMar>
              <w:top w:w="100" w:type="dxa"/>
              <w:bottom w:w="100" w:type="dxa"/>
              <w:left w:w="150" w:type="dxa"/>
              <w:right w:w="150" w:type="dxa"/>
            </w:tcMar>
          </w:tcPr>
          <w:p>
            <w:pPr>
              <w:jc w:val="center"/>
            </w:pPr>
            <w:r/>
            <w:r>
              <w:rPr>
                <w:b/>
                <w:color w:val="FFFFFF"/>
              </w:rPr>
              <w:t>Fecha</w:t>
            </w:r>
          </w:p>
        </w:tc>
      </w:tr>
      <w:tr>
        <w:tc>
          <w:tcPr>
            <w:tcW w:type="dxa" w:w="3135"/>
            <w:tcMar>
              <w:top w:w="100" w:type="dxa"/>
              <w:bottom w:w="100" w:type="dxa"/>
              <w:left w:w="150" w:type="dxa"/>
              <w:right w:w="150" w:type="dxa"/>
            </w:tcMar>
          </w:tcPr>
          <w:p>
            <w:r/>
            <w:r>
              <w:rPr>
                <w:b w:val="0"/>
              </w:rPr>
              <w:t>Martina Antonia Abello Sánchez</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tcPr>
          <w:p>
            <w:r/>
            <w:r>
              <w:rPr>
                <w:b w:val="0"/>
              </w:rPr>
              <w:t>Patricio Andrés Acevedo Flores</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tcPr>
          <w:p>
            <w:r/>
            <w:r>
              <w:rPr>
                <w:b w:val="0"/>
              </w:rPr>
              <w:t>Matías Felipe Acuña Osses</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tcPr>
          <w:p>
            <w:r/>
            <w:r>
              <w:rPr>
                <w:b w:val="0"/>
              </w:rPr>
              <w:t>Francisco Ignacio Bastías Carnot</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tcPr>
          <w:p>
            <w:r/>
            <w:r>
              <w:rPr>
                <w:b w:val="0"/>
              </w:rPr>
              <w:t>Cristián José Gandarillas Soza</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tcPr>
          <w:p>
            <w:r/>
            <w:r>
              <w:rPr>
                <w:b w:val="0"/>
              </w:rPr>
              <w:t>Ignacia Nuyens Gotelli</w:t>
            </w:r>
          </w:p>
        </w:tc>
        <w:tc>
          <w:tcPr>
            <w:tcW w:type="dxa" w:w="3135"/>
            <w:tcMar>
              <w:top w:w="100" w:type="dxa"/>
              <w:bottom w:w="100" w:type="dxa"/>
              <w:left w:w="150" w:type="dxa"/>
              <w:right w:w="150" w:type="dxa"/>
            </w:tcMar>
          </w:tcPr>
          <w:p>
            <w:r/>
            <w:r>
              <w:rPr>
                <w:b w:val="0"/>
              </w:rPr>
            </w:r>
          </w:p>
        </w:tc>
        <w:tc>
          <w:tcPr>
            <w:tcW w:type="dxa" w:w="3135"/>
            <w:tcMar>
              <w:top w:w="100" w:type="dxa"/>
              <w:bottom w:w="100" w:type="dxa"/>
              <w:left w:w="150" w:type="dxa"/>
              <w:right w:w="150" w:type="dxa"/>
            </w:tcMar>
          </w:tcPr>
          <w:p>
            <w:r/>
            <w:r>
              <w:rPr>
                <w:b w:val="0"/>
              </w:rPr>
            </w:r>
          </w:p>
        </w:tc>
      </w:tr>
      <w:tr>
        <w:tc>
          <w:tcPr>
            <w:tcW w:type="dxa" w:w="3135"/>
            <w:tcMar>
              <w:top w:w="100" w:type="dxa"/>
              <w:bottom w:w="100" w:type="dxa"/>
              <w:left w:w="150" w:type="dxa"/>
              <w:right w:w="150" w:type="dxa"/>
            </w:tcMar>
            <w:shd w:val="clear" w:color="auto" w:fill="F2F2F2"/>
          </w:tcPr>
          <w:p>
            <w:r/>
            <w:r>
              <w:rPr>
                <w:b w:val="0"/>
              </w:rPr>
              <w:t>Ayudante guía</w:t>
            </w:r>
          </w:p>
        </w:tc>
        <w:tc>
          <w:tcPr>
            <w:tcW w:type="dxa" w:w="3135"/>
            <w:tcMar>
              <w:top w:w="100" w:type="dxa"/>
              <w:bottom w:w="100" w:type="dxa"/>
              <w:left w:w="150" w:type="dxa"/>
              <w:right w:w="150" w:type="dxa"/>
            </w:tcMar>
            <w:shd w:val="clear" w:color="auto" w:fill="F2F2F2"/>
          </w:tcPr>
          <w:p>
            <w:r/>
            <w:r>
              <w:rPr>
                <w:b w:val="0"/>
              </w:rPr>
            </w:r>
          </w:p>
        </w:tc>
        <w:tc>
          <w:tcPr>
            <w:tcW w:type="dxa" w:w="3135"/>
            <w:tcMar>
              <w:top w:w="100" w:type="dxa"/>
              <w:bottom w:w="100" w:type="dxa"/>
              <w:left w:w="150" w:type="dxa"/>
              <w:right w:w="150" w:type="dxa"/>
            </w:tcMar>
            <w:shd w:val="clear" w:color="auto" w:fill="F2F2F2"/>
          </w:tcPr>
          <w:p>
            <w:r/>
            <w:r>
              <w:rPr>
                <w:b w:val="0"/>
              </w:rPr>
            </w:r>
          </w:p>
        </w:tc>
      </w:tr>
    </w:tbl>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Acta de Constitución de Equipo — Grupo 8 · Página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drawing>
        <wp:inline xmlns:a="http://schemas.openxmlformats.org/drawingml/2006/main" xmlns:pic="http://schemas.openxmlformats.org/drawingml/2006/picture">
          <wp:extent cx="503999" cy="503999"/>
          <wp:docPr id="1" name="Picture 1"/>
          <wp:cNvGraphicFramePr>
            <a:graphicFrameLocks noChangeAspect="1"/>
          </wp:cNvGraphicFramePr>
          <a:graphic>
            <a:graphicData uri="http://schemas.openxmlformats.org/drawingml/2006/picture">
              <pic:pic>
                <pic:nvPicPr>
                  <pic:cNvPr id="0" name="uc_logo.png"/>
                  <pic:cNvPicPr/>
                </pic:nvPicPr>
                <pic:blipFill>
                  <a:blip r:embed="rId1"/>
                  <a:stretch>
                    <a:fillRect/>
                  </a:stretch>
                </pic:blipFill>
                <pic:spPr>
                  <a:xfrm>
                    <a:off x="0" y="0"/>
                    <a:ext cx="503999" cy="503999"/>
                  </a:xfrm>
                  <a:prstGeom prst="rect"/>
                </pic:spPr>
              </pic:pic>
            </a:graphicData>
          </a:graphic>
        </wp:inline>
      </w:drawing>
    </w:r>
  </w:p>
  <w:p>
    <w:pPr>
      <w:spacing w:after="0"/>
      <w:jc w:val="center"/>
    </w:pPr>
    <w:r>
      <w:rPr>
        <w:color w:val="5A5A5A"/>
        <w:sz w:val="16"/>
      </w:rPr>
      <w:t>Pontificia Universidad Católica de Chile — Gestión de Proyectos TI (IIC3753)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