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37cb6a70587ded0d4d37def1fcbc71961586f7c"/>
    <w:p>
      <w:pPr>
        <w:pStyle w:val="Heading1"/>
      </w:pPr>
      <w:r>
        <w:t xml:space="preserve">Building a Generic Medication Safety Knowledge Service</w:t>
      </w:r>
    </w:p>
    <w:bookmarkStart w:id="24" w:name="executive-summary"/>
    <w:p>
      <w:pPr>
        <w:pStyle w:val="Heading2"/>
      </w:pPr>
      <w:r>
        <w:t xml:space="preserve">Executive summary</w:t>
      </w:r>
    </w:p>
    <w:p>
      <w:pPr>
        <w:pStyle w:val="FirstParagraph"/>
      </w:pPr>
      <w:r>
        <w:t xml:space="preserve">A generic medication-safety knowledge service built only on trusted public data can be</w:t>
      </w:r>
      <w:r>
        <w:t xml:space="preserve"> </w:t>
      </w:r>
      <w:r>
        <w:rPr>
          <w:b/>
          <w:bCs/>
        </w:rPr>
        <w:t xml:space="preserve">useful, auditable, and scalable</w:t>
      </w:r>
      <w:r>
        <w:t xml:space="preserve">, but it should not pretend to be a complete substitute for a proprietary medication knowledge base. The strongest public architecture is to make</w:t>
      </w:r>
      <w:r>
        <w:t xml:space="preserve"> </w:t>
      </w:r>
      <w:r>
        <w:rPr>
          <w:b/>
          <w:bCs/>
        </w:rPr>
        <w:t xml:space="preserve">DailyMed</w:t>
      </w:r>
      <w:r>
        <w:t xml:space="preserve"> </w:t>
      </w:r>
      <w:r>
        <w:t xml:space="preserve">your primary U.S. label source, use</w:t>
      </w:r>
      <w:r>
        <w:t xml:space="preserve"> </w:t>
      </w:r>
      <w:r>
        <w:rPr>
          <w:b/>
          <w:bCs/>
        </w:rPr>
        <w:t xml:space="preserve">openFDA</w:t>
      </w:r>
      <w:r>
        <w:t xml:space="preserve"> </w:t>
      </w:r>
      <w:r>
        <w:t xml:space="preserve">as the machine-readable FDA query layer, use</w:t>
      </w:r>
      <w:r>
        <w:t xml:space="preserve"> </w:t>
      </w:r>
      <w:r>
        <w:rPr>
          <w:b/>
          <w:bCs/>
        </w:rPr>
        <w:t xml:space="preserve">RxNorm/RxClass</w:t>
      </w:r>
      <w:r>
        <w:t xml:space="preserve"> </w:t>
      </w:r>
      <w:r>
        <w:t xml:space="preserve">as the medication identity and class backbone, use</w:t>
      </w:r>
      <w:r>
        <w:t xml:space="preserve"> </w:t>
      </w:r>
      <w:r>
        <w:rPr>
          <w:b/>
          <w:bCs/>
        </w:rPr>
        <w:t xml:space="preserve">ICD-11 and, where licensed, SNOMED CT</w:t>
      </w:r>
      <w:r>
        <w:t xml:space="preserve"> </w:t>
      </w:r>
      <w:r>
        <w:t xml:space="preserve">for condition normalization, and add</w:t>
      </w:r>
      <w:r>
        <w:t xml:space="preserve"> </w:t>
      </w:r>
      <w:r>
        <w:rPr>
          <w:b/>
          <w:bCs/>
        </w:rPr>
        <w:t xml:space="preserve">EMA, NHS, WHO, PubMed/PMC, and selected clinical-guideline feeds</w:t>
      </w:r>
      <w:r>
        <w:t xml:space="preserve"> </w:t>
      </w:r>
      <w:r>
        <w:t xml:space="preserve">as secondary enrichment layers. DailyMed provides current “in use” SPL labels and bulk updates; openFDA provides structured label fields, NDC, Drugs@FDA, and FAERS APIs; RxNorm and RxClass provide normalization and class relationships; EMA now publishes website JSON data twice daily and a public ePI API; NHS provides a machine-readable content API; WHO provides ICD and essential-medicines resources.</w:t>
      </w:r>
      <w:r>
        <w:t xml:space="preserve"> </w:t>
      </w:r>
      <w:hyperlink r:id="rId21">
        <w:r>
          <w:rPr>
            <w:rStyle w:val="Hyperlink"/>
          </w:rPr>
          <w:t xml:space="preserve">[1]</w:t>
        </w:r>
      </w:hyperlink>
    </w:p>
    <w:p>
      <w:pPr>
        <w:pStyle w:val="BodyText"/>
      </w:pPr>
      <w:r>
        <w:t xml:space="preserve">The biggest design constraint is</w:t>
      </w:r>
      <w:r>
        <w:t xml:space="preserve"> </w:t>
      </w:r>
      <w:r>
        <w:rPr>
          <w:b/>
          <w:bCs/>
        </w:rPr>
        <w:t xml:space="preserve">public direct interaction coverage</w:t>
      </w:r>
      <w:r>
        <w:t xml:space="preserve">. NLM’s RxNav discontinued its drug-drug interaction API in early 2024, and openFDA explicitly says its data are not all validated for clinical or production use. That means a public-data-first service should focus on</w:t>
      </w:r>
      <w:r>
        <w:t xml:space="preserve"> </w:t>
      </w:r>
      <w:r>
        <w:rPr>
          <w:b/>
          <w:bCs/>
        </w:rPr>
        <w:t xml:space="preserve">labeled interactions, contraindications, boxed warnings, comorbidity-specific cautions, age qualifiers, route qualifiers, and manually governed high-severity rules</w:t>
      </w:r>
      <w:r>
        <w:t xml:space="preserve">, rather than claiming to deliver exhaustive pairwise DDI intelligence from public APIs alone. Where you need broad interaction coverage, the safest pattern is a phased strategy: public-source core first, then optional curated or commercial supplementation later.</w:t>
      </w:r>
      <w:r>
        <w:t xml:space="preserve"> </w:t>
      </w:r>
      <w:hyperlink r:id="rId22">
        <w:r>
          <w:rPr>
            <w:rStyle w:val="Hyperlink"/>
          </w:rPr>
          <w:t xml:space="preserve">[2]</w:t>
        </w:r>
      </w:hyperlink>
    </w:p>
    <w:p>
      <w:pPr>
        <w:pStyle w:val="BodyText"/>
      </w:pPr>
      <w:r>
        <w:t xml:space="preserve">A second practical constraint is licensing.</w:t>
      </w:r>
      <w:r>
        <w:t xml:space="preserve"> </w:t>
      </w:r>
      <w:r>
        <w:rPr>
          <w:b/>
          <w:bCs/>
        </w:rPr>
        <w:t xml:space="preserve">openFDA</w:t>
      </w:r>
      <w:r>
        <w:t xml:space="preserve"> </w:t>
      </w:r>
      <w:r>
        <w:t xml:space="preserve">is clearly CC0/public domain;</w:t>
      </w:r>
      <w:r>
        <w:t xml:space="preserve"> </w:t>
      </w:r>
      <w:r>
        <w:rPr>
          <w:b/>
          <w:bCs/>
        </w:rPr>
        <w:t xml:space="preserve">NHS</w:t>
      </w:r>
      <w:r>
        <w:t xml:space="preserve"> </w:t>
      </w:r>
      <w:r>
        <w:t xml:space="preserve">public data is under the Open Government Licence;</w:t>
      </w:r>
      <w:r>
        <w:t xml:space="preserve"> </w:t>
      </w:r>
      <w:r>
        <w:rPr>
          <w:b/>
          <w:bCs/>
        </w:rPr>
        <w:t xml:space="preserve">EMA</w:t>
      </w:r>
      <w:r>
        <w:t xml:space="preserve"> </w:t>
      </w:r>
      <w:r>
        <w:t xml:space="preserve">generally allows reproduction with attribution;</w:t>
      </w:r>
      <w:r>
        <w:t xml:space="preserve"> </w:t>
      </w:r>
      <w:r>
        <w:rPr>
          <w:b/>
          <w:bCs/>
        </w:rPr>
        <w:t xml:space="preserve">WHO ICD-11</w:t>
      </w:r>
      <w:r>
        <w:t xml:space="preserve"> </w:t>
      </w:r>
      <w:r>
        <w:t xml:space="preserve">is CC BY-ND 3.0 IGO;</w:t>
      </w:r>
      <w:r>
        <w:t xml:space="preserve"> </w:t>
      </w:r>
      <w:r>
        <w:rPr>
          <w:b/>
          <w:bCs/>
        </w:rPr>
        <w:t xml:space="preserve">SNOMED CT</w:t>
      </w:r>
      <w:r>
        <w:t xml:space="preserve"> </w:t>
      </w:r>
      <w:r>
        <w:t xml:space="preserve">requires licensing in non-member territories; and</w:t>
      </w:r>
      <w:r>
        <w:t xml:space="preserve"> </w:t>
      </w:r>
      <w:r>
        <w:rPr>
          <w:b/>
          <w:bCs/>
        </w:rPr>
        <w:t xml:space="preserve">NICE</w:t>
      </w:r>
      <w:r>
        <w:t xml:space="preserve"> </w:t>
      </w:r>
      <w:r>
        <w:t xml:space="preserve">syndication uses explicit licensing terms, including fees for some international uses. So a “public-domain-only” rule is too restrictive for a globally useful service. A better operational rule is</w:t>
      </w:r>
      <w:r>
        <w:t xml:space="preserve"> </w:t>
      </w:r>
      <w:r>
        <w:rPr>
          <w:b/>
          <w:bCs/>
        </w:rPr>
        <w:t xml:space="preserve">primary/official sources first, with explicit provenance and license-aware ingestion controls</w:t>
      </w:r>
      <w:r>
        <w:t xml:space="preserve">.</w:t>
      </w:r>
      <w:r>
        <w:t xml:space="preserve"> </w:t>
      </w:r>
      <w:hyperlink r:id="rId23">
        <w:r>
          <w:rPr>
            <w:rStyle w:val="Hyperlink"/>
          </w:rPr>
          <w:t xml:space="preserve">[3]</w:t>
        </w:r>
      </w:hyperlink>
    </w:p>
    <w:p>
      <w:pPr>
        <w:pStyle w:val="BodyText"/>
      </w:pPr>
      <w:r>
        <w:t xml:space="preserve">The safest implementation model is an</w:t>
      </w:r>
      <w:r>
        <w:t xml:space="preserve"> </w:t>
      </w:r>
      <w:r>
        <w:rPr>
          <w:b/>
          <w:bCs/>
        </w:rPr>
        <w:t xml:space="preserve">internal normalized knowledge service</w:t>
      </w:r>
      <w:r>
        <w:t xml:space="preserve">, not a pass-through proxy to external APIs. Your runtime service should answer questions like: “Is this medication contraindicated for a five-year-old with epilepsy and prolonged QT who is already taking ondansetron?” or “Does a current label or guideline say to avoid this drug in severe renal impairment?” To do that reliably, the service needs a versioned knowledge base, a documented evidence hierarchy, a human clinical-review workflow for severity escalations, and a user-facing explanation layer that shows exactly</w:t>
      </w:r>
      <w:r>
        <w:t xml:space="preserve"> </w:t>
      </w:r>
      <w:r>
        <w:rPr>
          <w:b/>
          <w:bCs/>
        </w:rPr>
        <w:t xml:space="preserve">why</w:t>
      </w:r>
      <w:r>
        <w:t xml:space="preserve"> </w:t>
      </w:r>
      <w:r>
        <w:t xml:space="preserve">something was flagged and</w:t>
      </w:r>
      <w:r>
        <w:t xml:space="preserve"> </w:t>
      </w:r>
      <w:r>
        <w:rPr>
          <w:b/>
          <w:bCs/>
        </w:rPr>
        <w:t xml:space="preserve">which source</w:t>
      </w:r>
      <w:r>
        <w:t xml:space="preserve"> </w:t>
      </w:r>
      <w:r>
        <w:t xml:space="preserve">supports it. The underlying public sources provide enough structure to support that approach, but they do not eliminate the need for governance.</w:t>
      </w:r>
      <w:r>
        <w:t xml:space="preserve"> </w:t>
      </w:r>
      <w:hyperlink r:id="rId21">
        <w:r>
          <w:rPr>
            <w:rStyle w:val="Hyperlink"/>
          </w:rPr>
          <w:t xml:space="preserve">[4]</w:t>
        </w:r>
      </w:hyperlink>
    </w:p>
    <w:bookmarkEnd w:id="24"/>
    <w:bookmarkStart w:id="25" w:name="scope-assumptions-and-source-strategy"/>
    <w:p>
      <w:pPr>
        <w:pStyle w:val="Heading2"/>
      </w:pPr>
      <w:r>
        <w:t xml:space="preserve">Scope assumptions and source strategy</w:t>
      </w:r>
    </w:p>
    <w:p>
      <w:pPr>
        <w:pStyle w:val="FirstParagraph"/>
      </w:pPr>
      <w:r>
        <w:t xml:space="preserve">This report assumes the</w:t>
      </w:r>
      <w:r>
        <w:t xml:space="preserve"> </w:t>
      </w:r>
      <w:r>
        <w:rPr>
          <w:b/>
          <w:bCs/>
        </w:rPr>
        <w:t xml:space="preserve">jurisdiction is unspecified</w:t>
      </w:r>
      <w:r>
        <w:t xml:space="preserve">. The default recommendation is therefore a</w:t>
      </w:r>
      <w:r>
        <w:t xml:space="preserve"> </w:t>
      </w:r>
      <w:r>
        <w:rPr>
          <w:b/>
          <w:bCs/>
        </w:rPr>
        <w:t xml:space="preserve">U.S./EU core</w:t>
      </w:r>
      <w:r>
        <w:t xml:space="preserve"> </w:t>
      </w:r>
      <w:r>
        <w:t xml:space="preserve">with international augmentation: U.S. labels and identifiers from DailyMed, openFDA, and RxNorm; EU product information and safety communications from EMA; patient-friendly augmentation from NHS; international classification support from WHO; and terminology support from ICD-11 and, where licensing permits, SNOMED CT. That is the most practical official-source baseline for a generic service that must work across conditions, age groups, and ongoing medicines.</w:t>
      </w:r>
      <w:r>
        <w:t xml:space="preserve"> </w:t>
      </w:r>
      <w:hyperlink r:id="rId21">
        <w:r>
          <w:rPr>
            <w:rStyle w:val="Hyperlink"/>
          </w:rPr>
          <w:t xml:space="preserve">[5]</w:t>
        </w:r>
      </w:hyperlink>
    </w:p>
    <w:p>
      <w:pPr>
        <w:pStyle w:val="BodyText"/>
      </w:pPr>
      <w:r>
        <w:t xml:space="preserve">The core design principle should be to keep</w:t>
      </w:r>
      <w:r>
        <w:t xml:space="preserve"> </w:t>
      </w:r>
      <w:r>
        <w:rPr>
          <w:b/>
          <w:bCs/>
        </w:rPr>
        <w:t xml:space="preserve">four evidence layers separate</w:t>
      </w:r>
      <w:r>
        <w:t xml:space="preserve"> </w:t>
      </w:r>
      <w:r>
        <w:t xml:space="preserve">instead of collapsing them into one “interaction” bucket:</w:t>
      </w:r>
    </w:p>
    <w:p>
      <w:pPr>
        <w:pStyle w:val="Compact"/>
        <w:numPr>
          <w:ilvl w:val="0"/>
          <w:numId w:val="1001"/>
        </w:numPr>
      </w:pPr>
      <w:r>
        <w:rPr>
          <w:b/>
          <w:bCs/>
        </w:rPr>
        <w:t xml:space="preserve">Regulatory label evidence</w:t>
      </w:r>
      <w:r>
        <w:t xml:space="preserve"> </w:t>
      </w:r>
      <w:r>
        <w:t xml:space="preserve">such as contraindications, boxed warnings, warnings and precautions, drug interactions, and pediatric use.</w:t>
      </w:r>
    </w:p>
    <w:p>
      <w:pPr>
        <w:pStyle w:val="Compact"/>
        <w:numPr>
          <w:ilvl w:val="0"/>
          <w:numId w:val="1001"/>
        </w:numPr>
      </w:pPr>
      <w:r>
        <w:rPr>
          <w:b/>
          <w:bCs/>
        </w:rPr>
        <w:t xml:space="preserve">Terminology and normalization evidence</w:t>
      </w:r>
      <w:r>
        <w:t xml:space="preserve"> </w:t>
      </w:r>
      <w:r>
        <w:t xml:space="preserve">such as ingredient identity, brand/generic linkage, NDC association, and class membership.</w:t>
      </w:r>
    </w:p>
    <w:p>
      <w:pPr>
        <w:pStyle w:val="Compact"/>
        <w:numPr>
          <w:ilvl w:val="0"/>
          <w:numId w:val="1001"/>
        </w:numPr>
      </w:pPr>
      <w:r>
        <w:rPr>
          <w:b/>
          <w:bCs/>
        </w:rPr>
        <w:t xml:space="preserve">Condition and population evidence</w:t>
      </w:r>
      <w:r>
        <w:t xml:space="preserve"> </w:t>
      </w:r>
      <w:r>
        <w:t xml:space="preserve">such as diagnosis coding, age, pregnancy, renal or hepatic impairment, and route-specific constraints.</w:t>
      </w:r>
    </w:p>
    <w:p>
      <w:pPr>
        <w:pStyle w:val="Compact"/>
        <w:numPr>
          <w:ilvl w:val="0"/>
          <w:numId w:val="1001"/>
        </w:numPr>
      </w:pPr>
      <w:r>
        <w:rPr>
          <w:b/>
          <w:bCs/>
        </w:rPr>
        <w:t xml:space="preserve">Secondary evidence</w:t>
      </w:r>
      <w:r>
        <w:t xml:space="preserve"> </w:t>
      </w:r>
      <w:r>
        <w:t xml:space="preserve">such as literature, public safety communications, and clinical guidelines.</w:t>
      </w:r>
    </w:p>
    <w:p>
      <w:pPr>
        <w:pStyle w:val="FirstParagraph"/>
      </w:pPr>
      <w:r>
        <w:t xml:space="preserve">That structure mirrors how the public sources actually work. DailyMed and FDA SPL content are label-centric; openFDA adds harmonized machine-readable fields; RxNorm and RxClass address drug identity and class relations; ICD-11 and SNOMED CT normalize conditions; PubMed/PMC and guideline feeds supply higher-level evidence, not primary product labeling.</w:t>
      </w:r>
      <w:r>
        <w:t xml:space="preserve"> </w:t>
      </w:r>
      <w:hyperlink r:id="rId21">
        <w:r>
          <w:rPr>
            <w:rStyle w:val="Hyperlink"/>
          </w:rPr>
          <w:t xml:space="preserve">[6]</w:t>
        </w:r>
      </w:hyperlink>
    </w:p>
    <w:p>
      <w:pPr>
        <w:pStyle w:val="BodyText"/>
      </w:pPr>
      <w:r>
        <w:t xml:space="preserve">A further source-selection rule is important: when primary sources disagree or differ in wording,</w:t>
      </w:r>
      <w:r>
        <w:t xml:space="preserve"> </w:t>
      </w:r>
      <w:r>
        <w:rPr>
          <w:b/>
          <w:bCs/>
        </w:rPr>
        <w:t xml:space="preserve">do not overwrite the disagreement</w:t>
      </w:r>
      <w:r>
        <w:t xml:space="preserve">. DailyMed explicitly says its “in use” labeling may not be identical to the most recent FDA-approved labeling and that NLM does not review SPL content prior to publication; openFDA similarly says its drug labels are reformatted, not verified by FDA, and may not match currently distributed or approved labeling. That is a strong reason to persist the</w:t>
      </w:r>
      <w:r>
        <w:t xml:space="preserve"> </w:t>
      </w:r>
      <w:r>
        <w:rPr>
          <w:b/>
          <w:bCs/>
        </w:rPr>
        <w:t xml:space="preserve">raw source text</w:t>
      </w:r>
      <w:r>
        <w:t xml:space="preserve">, the</w:t>
      </w:r>
      <w:r>
        <w:t xml:space="preserve"> </w:t>
      </w:r>
      <w:r>
        <w:rPr>
          <w:b/>
          <w:bCs/>
        </w:rPr>
        <w:t xml:space="preserve">source type</w:t>
      </w:r>
      <w:r>
        <w:t xml:space="preserve">, and the</w:t>
      </w:r>
      <w:r>
        <w:t xml:space="preserve"> </w:t>
      </w:r>
      <w:r>
        <w:rPr>
          <w:b/>
          <w:bCs/>
        </w:rPr>
        <w:t xml:space="preserve">versioning fields</w:t>
      </w:r>
      <w:r>
        <w:t xml:space="preserve"> </w:t>
      </w:r>
      <w:r>
        <w:t xml:space="preserve">alongside your normalized risk rule.</w:t>
      </w:r>
      <w:r>
        <w:t xml:space="preserve"> </w:t>
      </w:r>
      <w:hyperlink r:id="rId21">
        <w:r>
          <w:rPr>
            <w:rStyle w:val="Hyperlink"/>
          </w:rPr>
          <w:t xml:space="preserve">[7]</w:t>
        </w:r>
      </w:hyperlink>
    </w:p>
    <w:p>
      <w:pPr>
        <w:pStyle w:val="BodyText"/>
      </w:pPr>
      <w:r>
        <w:t xml:space="preserve">For this reason, the recommended source priority is:</w:t>
      </w:r>
    </w:p>
    <w:p>
      <w:pPr>
        <w:pStyle w:val="Compact"/>
        <w:numPr>
          <w:ilvl w:val="0"/>
          <w:numId w:val="1002"/>
        </w:numPr>
      </w:pPr>
      <w:r>
        <w:rPr>
          <w:b/>
          <w:bCs/>
        </w:rPr>
        <w:t xml:space="preserve">Official regulatory labeling and identifiers</w:t>
      </w:r>
      <w:r>
        <w:t xml:space="preserve"> </w:t>
      </w:r>
      <w:r>
        <w:t xml:space="preserve">for the core facts.</w:t>
      </w:r>
    </w:p>
    <w:p>
      <w:pPr>
        <w:pStyle w:val="Compact"/>
        <w:numPr>
          <w:ilvl w:val="0"/>
          <w:numId w:val="1002"/>
        </w:numPr>
      </w:pPr>
      <w:r>
        <w:rPr>
          <w:b/>
          <w:bCs/>
        </w:rPr>
        <w:t xml:space="preserve">Official terminology and classification services</w:t>
      </w:r>
      <w:r>
        <w:t xml:space="preserve"> </w:t>
      </w:r>
      <w:r>
        <w:t xml:space="preserve">for normalization.</w:t>
      </w:r>
    </w:p>
    <w:p>
      <w:pPr>
        <w:pStyle w:val="Compact"/>
        <w:numPr>
          <w:ilvl w:val="0"/>
          <w:numId w:val="1002"/>
        </w:numPr>
      </w:pPr>
      <w:r>
        <w:rPr>
          <w:b/>
          <w:bCs/>
        </w:rPr>
        <w:t xml:space="preserve">Official public pharmacovigilance and regulatory updates</w:t>
      </w:r>
      <w:r>
        <w:t xml:space="preserve"> </w:t>
      </w:r>
      <w:r>
        <w:t xml:space="preserve">for change detection and signal review.</w:t>
      </w:r>
    </w:p>
    <w:p>
      <w:pPr>
        <w:pStyle w:val="Compact"/>
        <w:numPr>
          <w:ilvl w:val="0"/>
          <w:numId w:val="1002"/>
        </w:numPr>
      </w:pPr>
      <w:r>
        <w:rPr>
          <w:b/>
          <w:bCs/>
        </w:rPr>
        <w:t xml:space="preserve">Official or peer-reviewed literature and clinical-guideline sources</w:t>
      </w:r>
      <w:r>
        <w:t xml:space="preserve"> </w:t>
      </w:r>
      <w:r>
        <w:t xml:space="preserve">for enrichment, alternatives, special populations, and monitoring advice.</w:t>
      </w:r>
    </w:p>
    <w:p>
      <w:pPr>
        <w:pStyle w:val="FirstParagraph"/>
      </w:pPr>
      <w:r>
        <w:t xml:space="preserve">That is a more defensible order than starting with literature or patient-facing content.</w:t>
      </w:r>
      <w:r>
        <w:t xml:space="preserve"> </w:t>
      </w:r>
      <w:hyperlink r:id="rId21">
        <w:r>
          <w:rPr>
            <w:rStyle w:val="Hyperlink"/>
          </w:rPr>
          <w:t xml:space="preserve">[8]</w:t>
        </w:r>
      </w:hyperlink>
    </w:p>
    <w:bookmarkEnd w:id="25"/>
    <w:bookmarkStart w:id="42" w:name="public-source-comparison"/>
    <w:p>
      <w:pPr>
        <w:pStyle w:val="Heading2"/>
      </w:pPr>
      <w:r>
        <w:t xml:space="preserve">Public source comparison</w:t>
      </w:r>
    </w:p>
    <w:p>
      <w:pPr>
        <w:pStyle w:val="FirstParagraph"/>
      </w:pPr>
      <w:r>
        <w:t xml:space="preserve">The table below compares the most relevant public sources for a generic medication-safety service. The focus is on</w:t>
      </w:r>
      <w:r>
        <w:t xml:space="preserve"> </w:t>
      </w:r>
      <w:r>
        <w:rPr>
          <w:b/>
          <w:bCs/>
        </w:rPr>
        <w:t xml:space="preserve">coverage, machine-readability, update cadence, and reuse constraints</w:t>
      </w:r>
      <w:r>
        <w:t xml:space="preserve">, because those are the attributes that most directly affect ETL design and operational reliability.</w:t>
      </w:r>
    </w:p>
    <w:bookmarkStart w:id="35" w:name="medication-and-regulatory-sources"/>
    <w:p>
      <w:pPr>
        <w:pStyle w:val="Heading3"/>
      </w:pPr>
      <w:r>
        <w:t xml:space="preserve">Medication and regulatory sources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Best role in the service</w:t>
            </w:r>
          </w:p>
        </w:tc>
        <w:tc>
          <w:tcPr/>
          <w:p>
            <w:pPr>
              <w:pStyle w:val="Compact"/>
            </w:pPr>
            <w:r>
              <w:t xml:space="preserve">API or bulk access</w:t>
            </w:r>
          </w:p>
        </w:tc>
        <w:tc>
          <w:tcPr/>
          <w:p>
            <w:pPr>
              <w:pStyle w:val="Compact"/>
            </w:pPr>
            <w:r>
              <w:t xml:space="preserve">Update cadence</w:t>
            </w:r>
          </w:p>
        </w:tc>
        <w:tc>
          <w:tcPr/>
          <w:p>
            <w:pPr>
              <w:pStyle w:val="Compact"/>
            </w:pPr>
            <w:r>
              <w:t xml:space="preserve">Licensing and reuse</w:t>
            </w:r>
          </w:p>
        </w:tc>
        <w:tc>
          <w:tcPr/>
          <w:p>
            <w:pPr>
              <w:pStyle w:val="Compact"/>
            </w:pPr>
            <w:r>
              <w:t xml:space="preserve">Practical caveat</w:t>
            </w:r>
          </w:p>
        </w:tc>
      </w:tr>
      <w:tr>
        <w:tc>
          <w:tcPr/>
          <w:p>
            <w:pPr>
              <w:pStyle w:val="Compact"/>
            </w:pPr>
            <w:r>
              <w:rPr>
                <w:b/>
                <w:bCs/>
              </w:rPr>
              <w:t xml:space="preserve">DailyMed</w:t>
            </w:r>
          </w:p>
        </w:tc>
        <w:tc>
          <w:tcPr/>
          <w:p>
            <w:pPr>
              <w:pStyle w:val="Compact"/>
            </w:pPr>
            <w:r>
              <w:t xml:space="preserve">Primary U.S. product-label source for contraindications, boxed warnings, warnings, interactions, pediatric use, dosage sections, and versioned SPL metadata.</w:t>
            </w:r>
          </w:p>
        </w:tc>
        <w:tc>
          <w:tcPr/>
          <w:p>
            <w:pPr>
              <w:pStyle w:val="Compact"/>
            </w:pPr>
            <w:r>
              <w:t xml:space="preserve">REST v2 plus daily, weekly, monthly, and full bulk label downloads.</w:t>
            </w:r>
          </w:p>
        </w:tc>
        <w:tc>
          <w:tcPr/>
          <w:p>
            <w:pPr>
              <w:pStyle w:val="Compact"/>
            </w:pPr>
            <w:r>
              <w:t xml:space="preserve">Daily/weekly/monthly bulk refresh patterns are published.</w:t>
            </w:r>
          </w:p>
        </w:tc>
        <w:tc>
          <w:tcPr/>
          <w:p>
            <w:pPr>
              <w:pStyle w:val="Compact"/>
            </w:pPr>
            <w:r>
              <w:t xml:space="preserve">Government-hosted and publicly accessible, but governed by NLM/NIH site terms rather than a broad CC0 statement.</w:t>
            </w:r>
          </w:p>
        </w:tc>
        <w:tc>
          <w:tcPr/>
          <w:p>
            <w:pPr>
              <w:pStyle w:val="Compact"/>
            </w:pPr>
            <w:r>
              <w:t xml:space="preserve">DailyMed says its “in use” labeling may differ from FDA-approved or currently distributed labeling, and NLM does not verify SPL content before publication.</w:t>
            </w:r>
            <w:r>
              <w:t xml:space="preserve"> </w:t>
            </w:r>
            <w:hyperlink r:id="rId21">
              <w:r>
                <w:rPr>
                  <w:rStyle w:val="Hyperlink"/>
                </w:rPr>
                <w:t xml:space="preserve">[9]</w:t>
              </w:r>
            </w:hyperlink>
          </w:p>
        </w:tc>
      </w:tr>
      <w:tr>
        <w:tc>
          <w:tcPr/>
          <w:p>
            <w:pPr>
              <w:pStyle w:val="Compact"/>
            </w:pPr>
            <w:r>
              <w:rPr>
                <w:b/>
                <w:bCs/>
              </w:rPr>
              <w:t xml:space="preserve">openFDA drug/label</w:t>
            </w:r>
          </w:p>
        </w:tc>
        <w:tc>
          <w:tcPr/>
          <w:p>
            <w:pPr>
              <w:pStyle w:val="Compact"/>
            </w:pPr>
            <w:r>
              <w:t xml:space="preserve">Machine-readable FDA label query layer for</w:t>
            </w:r>
            <w:r>
              <w:t xml:space="preserve"> </w:t>
            </w:r>
            <w:r>
              <w:rPr>
                <w:rStyle w:val="VerbatimChar"/>
              </w:rPr>
              <w:t xml:space="preserve">boxed_warning</w:t>
            </w:r>
            <w:r>
              <w:t xml:space="preserve">,</w:t>
            </w:r>
            <w:r>
              <w:t xml:space="preserve"> </w:t>
            </w:r>
            <w:r>
              <w:rPr>
                <w:rStyle w:val="VerbatimChar"/>
              </w:rPr>
              <w:t xml:space="preserve">contraindications</w:t>
            </w:r>
            <w:r>
              <w:t xml:space="preserve">,</w:t>
            </w:r>
            <w:r>
              <w:t xml:space="preserve"> </w:t>
            </w:r>
            <w:r>
              <w:rPr>
                <w:rStyle w:val="VerbatimChar"/>
              </w:rPr>
              <w:t xml:space="preserve">warnings</w:t>
            </w:r>
            <w:r>
              <w:t xml:space="preserve">,</w:t>
            </w:r>
            <w:r>
              <w:t xml:space="preserve"> </w:t>
            </w:r>
            <w:r>
              <w:rPr>
                <w:rStyle w:val="VerbatimChar"/>
              </w:rPr>
              <w:t xml:space="preserve">drug_interactions</w:t>
            </w:r>
            <w:r>
              <w:t xml:space="preserve">,</w:t>
            </w:r>
            <w:r>
              <w:t xml:space="preserve"> </w:t>
            </w:r>
            <w:r>
              <w:rPr>
                <w:rStyle w:val="VerbatimChar"/>
              </w:rPr>
              <w:t xml:space="preserve">pediatric_use</w:t>
            </w:r>
            <w:r>
              <w:t xml:space="preserve">,</w:t>
            </w:r>
            <w:r>
              <w:t xml:space="preserve"> </w:t>
            </w:r>
            <w:r>
              <w:rPr>
                <w:rStyle w:val="VerbatimChar"/>
              </w:rPr>
              <w:t xml:space="preserve">route</w:t>
            </w:r>
            <w:r>
              <w:t xml:space="preserve">,</w:t>
            </w:r>
            <w:r>
              <w:t xml:space="preserve"> </w:t>
            </w:r>
            <w:r>
              <w:rPr>
                <w:rStyle w:val="VerbatimChar"/>
              </w:rPr>
              <w:t xml:space="preserve">effective_time</w:t>
            </w:r>
            <w:r>
              <w:t xml:space="preserve">, and</w:t>
            </w:r>
            <w:r>
              <w:t xml:space="preserve"> </w:t>
            </w:r>
            <w:r>
              <w:rPr>
                <w:rStyle w:val="VerbatimChar"/>
              </w:rPr>
              <w:t xml:space="preserve">set_id</w:t>
            </w:r>
            <w:r>
              <w:t xml:space="preserve">.</w:t>
            </w:r>
          </w:p>
        </w:tc>
        <w:tc>
          <w:tcPr/>
          <w:p>
            <w:pPr>
              <w:pStyle w:val="Compact"/>
            </w:pPr>
            <w:r>
              <w:t xml:space="preserve">JSON API, downloadable JSON files, search-after support.</w:t>
            </w:r>
          </w:p>
        </w:tc>
        <w:tc>
          <w:tcPr/>
          <w:p>
            <w:pPr>
              <w:pStyle w:val="Compact"/>
            </w:pPr>
            <w:r>
              <w:t xml:space="preserve">Weekly for drug labeling.</w:t>
            </w:r>
          </w:p>
        </w:tc>
        <w:tc>
          <w:tcPr/>
          <w:p>
            <w:pPr>
              <w:pStyle w:val="Compact"/>
            </w:pPr>
            <w:r>
              <w:t xml:space="preserve">Unless otherwise noted, openFDA data and documentation are public domain under CC0.</w:t>
            </w:r>
          </w:p>
        </w:tc>
        <w:tc>
          <w:tcPr/>
          <w:p>
            <w:pPr>
              <w:pStyle w:val="Compact"/>
            </w:pPr>
            <w:r>
              <w:t xml:space="preserve">openFDA says its data are not all validated for clinical or production use and label content is reformatted rather than FDA-verified.</w:t>
            </w:r>
            <w:r>
              <w:t xml:space="preserve"> </w:t>
            </w:r>
            <w:hyperlink r:id="rId26">
              <w:r>
                <w:rPr>
                  <w:rStyle w:val="Hyperlink"/>
                </w:rPr>
                <w:t xml:space="preserve">[10]</w:t>
              </w:r>
            </w:hyperlink>
          </w:p>
        </w:tc>
      </w:tr>
      <w:tr>
        <w:tc>
          <w:tcPr/>
          <w:p>
            <w:pPr>
              <w:pStyle w:val="Compact"/>
            </w:pPr>
            <w:r>
              <w:rPr>
                <w:b/>
                <w:bCs/>
              </w:rPr>
              <w:t xml:space="preserve">openFDA drug/ndc</w:t>
            </w:r>
          </w:p>
        </w:tc>
        <w:tc>
          <w:tcPr/>
          <w:p>
            <w:pPr>
              <w:pStyle w:val="Compact"/>
            </w:pPr>
            <w:r>
              <w:t xml:space="preserve">Product identity, package-level detail, marketed status, route, form, and NDC lookup.</w:t>
            </w:r>
          </w:p>
        </w:tc>
        <w:tc>
          <w:tcPr/>
          <w:p>
            <w:pPr>
              <w:pStyle w:val="Compact"/>
            </w:pPr>
            <w:r>
              <w:t xml:space="preserve">JSON API and downloadable JSON.</w:t>
            </w:r>
          </w:p>
        </w:tc>
        <w:tc>
          <w:tcPr/>
          <w:p>
            <w:pPr>
              <w:pStyle w:val="Compact"/>
            </w:pPr>
            <w:r>
              <w:t xml:space="preserve">Daily.</w:t>
            </w:r>
          </w:p>
        </w:tc>
        <w:tc>
          <w:tcPr/>
          <w:p>
            <w:pPr>
              <w:pStyle w:val="Compact"/>
            </w:pPr>
            <w:r>
              <w:t xml:space="preserve">Same CC0/public-domain posture as openFDA generally.</w:t>
            </w:r>
          </w:p>
        </w:tc>
        <w:tc>
          <w:tcPr/>
          <w:p>
            <w:pPr>
              <w:pStyle w:val="Compact"/>
            </w:pPr>
            <w:r>
              <w:t xml:space="preserve">NDC is excellent for product specificity, but it is not a clinical risk source by itself.</w:t>
            </w:r>
            <w:r>
              <w:t xml:space="preserve"> </w:t>
            </w:r>
            <w:hyperlink r:id="rId27">
              <w:r>
                <w:rPr>
                  <w:rStyle w:val="Hyperlink"/>
                </w:rPr>
                <w:t xml:space="preserve">[11]</w:t>
              </w:r>
            </w:hyperlink>
          </w:p>
        </w:tc>
      </w:tr>
      <w:tr>
        <w:tc>
          <w:tcPr/>
          <w:p>
            <w:pPr>
              <w:pStyle w:val="Compact"/>
            </w:pPr>
            <w:r>
              <w:rPr>
                <w:b/>
                <w:bCs/>
              </w:rPr>
              <w:t xml:space="preserve">openFDA drug/event</w:t>
            </w:r>
          </w:p>
        </w:tc>
        <w:tc>
          <w:tcPr/>
          <w:p>
            <w:pPr>
              <w:pStyle w:val="Compact"/>
            </w:pPr>
            <w:r>
              <w:t xml:space="preserve">Post-marketing signal enrichment, not first-line decision logic.</w:t>
            </w:r>
          </w:p>
        </w:tc>
        <w:tc>
          <w:tcPr/>
          <w:p>
            <w:pPr>
              <w:pStyle w:val="Compact"/>
            </w:pPr>
            <w:r>
              <w:t xml:space="preserve">JSON API and bulk downloads.</w:t>
            </w:r>
          </w:p>
        </w:tc>
        <w:tc>
          <w:tcPr/>
          <w:p>
            <w:pPr>
              <w:pStyle w:val="Compact"/>
            </w:pPr>
            <w:r>
              <w:t xml:space="preserve">Quarterly, with potential lag of 3 months or more.</w:t>
            </w:r>
          </w:p>
        </w:tc>
        <w:tc>
          <w:tcPr/>
          <w:p>
            <w:pPr>
              <w:pStyle w:val="Compact"/>
            </w:pPr>
            <w:r>
              <w:t xml:space="preserve">Same CC0/public-domain posture as openFDA generally.</w:t>
            </w:r>
          </w:p>
        </w:tc>
        <w:tc>
          <w:tcPr/>
          <w:p>
            <w:pPr>
              <w:pStyle w:val="Compact"/>
            </w:pPr>
            <w:r>
              <w:t xml:space="preserve">Useful for surveillance, but not a safe sole basis for contraindication logic.</w:t>
            </w:r>
            <w:r>
              <w:t xml:space="preserve"> </w:t>
            </w:r>
            <w:hyperlink r:id="rId28">
              <w:r>
                <w:rPr>
                  <w:rStyle w:val="Hyperlink"/>
                </w:rPr>
                <w:t xml:space="preserve">[12]</w:t>
              </w:r>
            </w:hyperlink>
          </w:p>
        </w:tc>
      </w:tr>
      <w:tr>
        <w:tc>
          <w:tcPr/>
          <w:p>
            <w:pPr>
              <w:pStyle w:val="Compact"/>
            </w:pPr>
            <w:r>
              <w:rPr>
                <w:b/>
                <w:bCs/>
              </w:rPr>
              <w:t xml:space="preserve">openFDA Drugs@FDA</w:t>
            </w:r>
          </w:p>
        </w:tc>
        <w:tc>
          <w:tcPr/>
          <w:p>
            <w:pPr>
              <w:pStyle w:val="Compact"/>
            </w:pPr>
            <w:r>
              <w:t xml:space="preserve">Approval history, official approval documents, and label-review context for cross-checking.</w:t>
            </w:r>
          </w:p>
        </w:tc>
        <w:tc>
          <w:tcPr/>
          <w:p>
            <w:pPr>
              <w:pStyle w:val="Compact"/>
            </w:pPr>
            <w:r>
              <w:t xml:space="preserve">JSON API and downloads.</w:t>
            </w:r>
          </w:p>
        </w:tc>
        <w:tc>
          <w:tcPr/>
          <w:p>
            <w:pPr>
              <w:pStyle w:val="Compact"/>
            </w:pPr>
            <w:r>
              <w:t xml:space="preserve">Daily Monday through Friday.</w:t>
            </w:r>
          </w:p>
        </w:tc>
        <w:tc>
          <w:tcPr/>
          <w:p>
            <w:pPr>
              <w:pStyle w:val="Compact"/>
            </w:pPr>
            <w:r>
              <w:t xml:space="preserve">Same CC0/public-domain posture as openFDA generally.</w:t>
            </w:r>
          </w:p>
        </w:tc>
        <w:tc>
          <w:tcPr/>
          <w:p>
            <w:pPr>
              <w:pStyle w:val="Compact"/>
            </w:pPr>
            <w:r>
              <w:t xml:space="preserve">Valuable for audit and approval history, but not as convenient as DailyMed for current SPL text.</w:t>
            </w:r>
            <w:r>
              <w:t xml:space="preserve"> </w:t>
            </w:r>
            <w:hyperlink r:id="rId29">
              <w:r>
                <w:rPr>
                  <w:rStyle w:val="Hyperlink"/>
                </w:rPr>
                <w:t xml:space="preserve">[13]</w:t>
              </w:r>
            </w:hyperlink>
          </w:p>
        </w:tc>
      </w:tr>
      <w:tr>
        <w:tc>
          <w:tcPr/>
          <w:p>
            <w:pPr>
              <w:pStyle w:val="Compact"/>
            </w:pPr>
            <w:r>
              <w:rPr>
                <w:b/>
                <w:bCs/>
              </w:rPr>
              <w:t xml:space="preserve">RxNorm</w:t>
            </w:r>
          </w:p>
        </w:tc>
        <w:tc>
          <w:tcPr/>
          <w:p>
            <w:pPr>
              <w:pStyle w:val="Compact"/>
            </w:pPr>
            <w:r>
              <w:t xml:space="preserve">Canonical drug identity: ingredient, brand/generic mapping, RxCUI resolution, active/current/historical concept handling, NDC relationships.</w:t>
            </w:r>
          </w:p>
        </w:tc>
        <w:tc>
          <w:tcPr/>
          <w:p>
            <w:pPr>
              <w:pStyle w:val="Compact"/>
            </w:pPr>
            <w:r>
              <w:t xml:space="preserve">Public REST API; local RxNav-in-a-Box option.</w:t>
            </w:r>
          </w:p>
        </w:tc>
        <w:tc>
          <w:tcPr/>
          <w:p>
            <w:pPr>
              <w:pStyle w:val="Compact"/>
            </w:pPr>
            <w:r>
              <w:t xml:space="preserve">Monthly, following the RxNorm release.</w:t>
            </w:r>
          </w:p>
        </w:tc>
        <w:tc>
          <w:tcPr/>
          <w:p>
            <w:pPr>
              <w:pStyle w:val="Compact"/>
            </w:pPr>
            <w:r>
              <w:t xml:space="preserve">No license is generally needed because RxNorm is non-proprietary.</w:t>
            </w:r>
          </w:p>
        </w:tc>
        <w:tc>
          <w:tcPr/>
          <w:p>
            <w:pPr>
              <w:pStyle w:val="Compact"/>
            </w:pPr>
            <w:r>
              <w:t xml:space="preserve">Essential backbone for normalization, but it is not itself a contraindication source.</w:t>
            </w:r>
            <w:r>
              <w:t xml:space="preserve"> </w:t>
            </w:r>
            <w:hyperlink r:id="rId30">
              <w:r>
                <w:rPr>
                  <w:rStyle w:val="Hyperlink"/>
                </w:rPr>
                <w:t xml:space="preserve">[14]</w:t>
              </w:r>
            </w:hyperlink>
          </w:p>
        </w:tc>
      </w:tr>
      <w:tr>
        <w:tc>
          <w:tcPr/>
          <w:p>
            <w:pPr>
              <w:pStyle w:val="Compact"/>
            </w:pPr>
            <w:r>
              <w:rPr>
                <w:b/>
                <w:bCs/>
              </w:rPr>
              <w:t xml:space="preserve">RxClass</w:t>
            </w:r>
          </w:p>
        </w:tc>
        <w:tc>
          <w:tcPr/>
          <w:p>
            <w:pPr>
              <w:pStyle w:val="Compact"/>
            </w:pPr>
            <w:r>
              <w:t xml:space="preserve">Drug-class mapping for class warnings and class-based interaction rules.</w:t>
            </w:r>
          </w:p>
        </w:tc>
        <w:tc>
          <w:tcPr/>
          <w:p>
            <w:pPr>
              <w:pStyle w:val="Compact"/>
            </w:pPr>
            <w:r>
              <w:t xml:space="preserve">Public REST API; local RxNav-in-a-Box option.</w:t>
            </w:r>
          </w:p>
        </w:tc>
        <w:tc>
          <w:tcPr/>
          <w:p>
            <w:pPr>
              <w:pStyle w:val="Compact"/>
            </w:pPr>
            <w:r>
              <w:t xml:space="preserve">Updated with RxNav/RxNorm releases.</w:t>
            </w:r>
          </w:p>
        </w:tc>
        <w:tc>
          <w:tcPr/>
          <w:p>
            <w:pPr>
              <w:pStyle w:val="Compact"/>
            </w:pPr>
            <w:r>
              <w:t xml:space="preserve">Free to use, but some relations involve SNOMED CT and remain subject to SNOMED licensing provisions.</w:t>
            </w:r>
          </w:p>
        </w:tc>
        <w:tc>
          <w:tcPr/>
          <w:p>
            <w:pPr>
              <w:pStyle w:val="Compact"/>
            </w:pPr>
            <w:r>
              <w:t xml:space="preserve">Vital for class expansion, but license review is required if you depend on SNOMED-derived content.</w:t>
            </w:r>
            <w:r>
              <w:t xml:space="preserve"> </w:t>
            </w:r>
            <w:hyperlink r:id="rId31">
              <w:r>
                <w:rPr>
                  <w:rStyle w:val="Hyperlink"/>
                </w:rPr>
                <w:t xml:space="preserve">[15]</w:t>
              </w:r>
            </w:hyperlink>
          </w:p>
        </w:tc>
      </w:tr>
      <w:tr>
        <w:tc>
          <w:tcPr/>
          <w:p>
            <w:pPr>
              <w:pStyle w:val="Compact"/>
            </w:pPr>
            <w:r>
              <w:rPr>
                <w:b/>
                <w:bCs/>
              </w:rPr>
              <w:t xml:space="preserve">EMA medicines JSON and ePI API</w:t>
            </w:r>
          </w:p>
        </w:tc>
        <w:tc>
          <w:tcPr/>
          <w:p>
            <w:pPr>
              <w:pStyle w:val="Compact"/>
            </w:pPr>
            <w:r>
              <w:t xml:space="preserve">EU medicine/product-information layer, post-authorisation context, DHPCs, and structured product information for centrally authorised medicines.</w:t>
            </w:r>
          </w:p>
        </w:tc>
        <w:tc>
          <w:tcPr/>
          <w:p>
            <w:pPr>
              <w:pStyle w:val="Compact"/>
            </w:pPr>
            <w:r>
              <w:t xml:space="preserve">Website-wide JSON files plus a public ePI API; no key is needed for the current ePI consuming API.</w:t>
            </w:r>
          </w:p>
        </w:tc>
        <w:tc>
          <w:tcPr/>
          <w:p>
            <w:pPr>
              <w:pStyle w:val="Compact"/>
            </w:pPr>
            <w:r>
              <w:t xml:space="preserve">JSON files update twice daily; medicine tables update overnight; ePI pilot content is public.</w:t>
            </w:r>
          </w:p>
        </w:tc>
        <w:tc>
          <w:tcPr/>
          <w:p>
            <w:pPr>
              <w:pStyle w:val="Compact"/>
            </w:pPr>
            <w:r>
              <w:t xml:space="preserve">EMA allows reproduction and distribution with attribution, subject to legal notice terms and third-party exceptions.</w:t>
            </w:r>
          </w:p>
        </w:tc>
        <w:tc>
          <w:tcPr/>
          <w:p>
            <w:pPr>
              <w:pStyle w:val="Compact"/>
            </w:pPr>
            <w:r>
              <w:t xml:space="preserve">Broad and useful, but ePI implementation guidance is still described as draft/preview and central-authorisation scope is not the whole EU market.</w:t>
            </w:r>
            <w:r>
              <w:t xml:space="preserve"> </w:t>
            </w:r>
            <w:hyperlink r:id="rId32">
              <w:r>
                <w:rPr>
                  <w:rStyle w:val="Hyperlink"/>
                </w:rPr>
                <w:t xml:space="preserve">[16]</w:t>
              </w:r>
            </w:hyperlink>
          </w:p>
        </w:tc>
      </w:tr>
      <w:tr>
        <w:tc>
          <w:tcPr/>
          <w:p>
            <w:pPr>
              <w:pStyle w:val="Compact"/>
            </w:pPr>
            <w:r>
              <w:rPr>
                <w:b/>
                <w:bCs/>
              </w:rPr>
              <w:t xml:space="preserve">NHS Website Content API</w:t>
            </w:r>
          </w:p>
        </w:tc>
        <w:tc>
          <w:tcPr/>
          <w:p>
            <w:pPr>
              <w:pStyle w:val="Compact"/>
            </w:pPr>
            <w:r>
              <w:t xml:space="preserve">Patient-facing explanatory content for medicines and conditions, especially useful for consumer UX.</w:t>
            </w:r>
          </w:p>
        </w:tc>
        <w:tc>
          <w:tcPr/>
          <w:p>
            <w:pPr>
              <w:pStyle w:val="Compact"/>
            </w:pPr>
            <w:r>
              <w:t xml:space="preserve">JSON API with downloadable OAS.</w:t>
            </w:r>
          </w:p>
        </w:tc>
        <w:tc>
          <w:tcPr/>
          <w:p>
            <w:pPr>
              <w:pStyle w:val="Compact"/>
            </w:pPr>
            <w:r>
              <w:t xml:space="preserve">Editorially maintained; the API page itself shows current edit dates.</w:t>
            </w:r>
          </w:p>
        </w:tc>
        <w:tc>
          <w:tcPr/>
          <w:p>
            <w:pPr>
              <w:pStyle w:val="Compact"/>
            </w:pPr>
            <w:r>
              <w:t xml:space="preserve">NHS public data is available under the Open Government Licence.</w:t>
            </w:r>
          </w:p>
        </w:tc>
        <w:tc>
          <w:tcPr/>
          <w:p>
            <w:pPr>
              <w:pStyle w:val="Compact"/>
            </w:pPr>
            <w:r>
              <w:t xml:space="preserve">Helpful for explanations and summaries, but not a primary source for adjudicating contraindications.</w:t>
            </w:r>
            <w:r>
              <w:t xml:space="preserve"> </w:t>
            </w:r>
            <w:hyperlink r:id="rId33">
              <w:r>
                <w:rPr>
                  <w:rStyle w:val="Hyperlink"/>
                </w:rPr>
                <w:t xml:space="preserve">[17]</w:t>
              </w:r>
            </w:hyperlink>
          </w:p>
        </w:tc>
      </w:tr>
      <w:tr>
        <w:tc>
          <w:tcPr/>
          <w:p>
            <w:pPr>
              <w:pStyle w:val="Compact"/>
            </w:pPr>
            <w:r>
              <w:rPr>
                <w:b/>
                <w:bCs/>
              </w:rPr>
              <w:t xml:space="preserve">WHO EML and ATC/DDD</w:t>
            </w:r>
          </w:p>
        </w:tc>
        <w:tc>
          <w:tcPr/>
          <w:p>
            <w:pPr>
              <w:pStyle w:val="Compact"/>
            </w:pPr>
            <w:r>
              <w:t xml:space="preserve">International classification and essential-medicines context; useful for global taxonomies and pediatric essential-medicines context.</w:t>
            </w:r>
          </w:p>
        </w:tc>
        <w:tc>
          <w:tcPr/>
          <w:p>
            <w:pPr>
              <w:pStyle w:val="Compact"/>
            </w:pPr>
            <w:r>
              <w:t xml:space="preserve">Public web tooling, documents, and ATC index resources.</w:t>
            </w:r>
          </w:p>
        </w:tc>
        <w:tc>
          <w:tcPr/>
          <w:p>
            <w:pPr>
              <w:pStyle w:val="Compact"/>
            </w:pPr>
            <w:r>
              <w:t xml:space="preserve">WHO EML/EMLc every two years; ATC/DDD updated annually.</w:t>
            </w:r>
          </w:p>
        </w:tc>
        <w:tc>
          <w:tcPr/>
          <w:p>
            <w:pPr>
              <w:pStyle w:val="Compact"/>
            </w:pPr>
            <w:r>
              <w:t xml:space="preserve">WHO materials are governed by WHO copyright and specific licenses; ICD-11 specifically is CC BY-ND 3.0 IGO, and WHO content is not generally public domain.</w:t>
            </w:r>
          </w:p>
        </w:tc>
        <w:tc>
          <w:tcPr/>
          <w:p>
            <w:pPr>
              <w:pStyle w:val="Compact"/>
            </w:pPr>
            <w:r>
              <w:t xml:space="preserve">Valuable for international structure, not a primary source for product-level contraindications or interactions.</w:t>
            </w:r>
            <w:r>
              <w:t xml:space="preserve"> </w:t>
            </w:r>
            <w:hyperlink r:id="rId34">
              <w:r>
                <w:rPr>
                  <w:rStyle w:val="Hyperlink"/>
                </w:rPr>
                <w:t xml:space="preserve">[18]</w:t>
              </w:r>
            </w:hyperlink>
          </w:p>
        </w:tc>
      </w:tr>
    </w:tbl>
    <w:bookmarkEnd w:id="35"/>
    <w:bookmarkStart w:id="41" w:name="Xce410d0a85dadb8756c35e559e0a742c4a0604c"/>
    <w:p>
      <w:pPr>
        <w:pStyle w:val="Heading3"/>
      </w:pPr>
      <w:r>
        <w:t xml:space="preserve">Condition, terminology, literature, and guideline sources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Best role in the service</w:t>
            </w:r>
          </w:p>
        </w:tc>
        <w:tc>
          <w:tcPr/>
          <w:p>
            <w:pPr>
              <w:pStyle w:val="Compact"/>
            </w:pPr>
            <w:r>
              <w:t xml:space="preserve">API or bulk access</w:t>
            </w:r>
          </w:p>
        </w:tc>
        <w:tc>
          <w:tcPr/>
          <w:p>
            <w:pPr>
              <w:pStyle w:val="Compact"/>
            </w:pPr>
            <w:r>
              <w:t xml:space="preserve">Update cadence</w:t>
            </w:r>
          </w:p>
        </w:tc>
        <w:tc>
          <w:tcPr/>
          <w:p>
            <w:pPr>
              <w:pStyle w:val="Compact"/>
            </w:pPr>
            <w:r>
              <w:t xml:space="preserve">Licensing and reuse</w:t>
            </w:r>
          </w:p>
        </w:tc>
        <w:tc>
          <w:tcPr/>
          <w:p>
            <w:pPr>
              <w:pStyle w:val="Compact"/>
            </w:pPr>
            <w:r>
              <w:t xml:space="preserve">Practical caveat</w:t>
            </w:r>
          </w:p>
        </w:tc>
      </w:tr>
      <w:tr>
        <w:tc>
          <w:tcPr/>
          <w:p>
            <w:pPr>
              <w:pStyle w:val="Compact"/>
            </w:pPr>
            <w:r>
              <w:rPr>
                <w:b/>
                <w:bCs/>
              </w:rPr>
              <w:t xml:space="preserve">ICD-11 API</w:t>
            </w:r>
          </w:p>
        </w:tc>
        <w:tc>
          <w:tcPr/>
          <w:p>
            <w:pPr>
              <w:pStyle w:val="Compact"/>
            </w:pPr>
            <w:r>
              <w:t xml:space="preserve">Public global condition coding and interoperability fallback for diagnoses, comorbidities, and reporting.</w:t>
            </w:r>
          </w:p>
        </w:tc>
        <w:tc>
          <w:tcPr/>
          <w:p>
            <w:pPr>
              <w:pStyle w:val="Compact"/>
            </w:pPr>
            <w:r>
              <w:t xml:space="preserve">REST API with registration-based API keys; local deployment options are documented.</w:t>
            </w:r>
          </w:p>
        </w:tc>
        <w:tc>
          <w:tcPr/>
          <w:p>
            <w:pPr>
              <w:pStyle w:val="Compact"/>
            </w:pPr>
            <w:r>
              <w:t xml:space="preserve">WHO publishes new releases and supported versions; the API docs show current version/release updates.</w:t>
            </w:r>
          </w:p>
        </w:tc>
        <w:tc>
          <w:tcPr/>
          <w:p>
            <w:pPr>
              <w:pStyle w:val="Compact"/>
            </w:pPr>
            <w:r>
              <w:t xml:space="preserve">ICD-11 is CC BY-ND 3.0 IGO.</w:t>
            </w:r>
          </w:p>
        </w:tc>
        <w:tc>
          <w:tcPr/>
          <w:p>
            <w:pPr>
              <w:pStyle w:val="Compact"/>
            </w:pPr>
            <w:r>
              <w:t xml:space="preserve">Strong global condition API, but classification-oriented and not a substitute for dedicated medication rules.</w:t>
            </w:r>
            <w:r>
              <w:t xml:space="preserve"> </w:t>
            </w:r>
            <w:hyperlink r:id="rId36">
              <w:r>
                <w:rPr>
                  <w:rStyle w:val="Hyperlink"/>
                </w:rPr>
                <w:t xml:space="preserve">[19]</w:t>
              </w:r>
            </w:hyperlink>
          </w:p>
        </w:tc>
      </w:tr>
      <w:tr>
        <w:tc>
          <w:tcPr/>
          <w:p>
            <w:pPr>
              <w:pStyle w:val="Compact"/>
            </w:pPr>
            <w:r>
              <w:rPr>
                <w:b/>
                <w:bCs/>
              </w:rPr>
              <w:t xml:space="preserve">SNOMED CT</w:t>
            </w:r>
          </w:p>
        </w:tc>
        <w:tc>
          <w:tcPr/>
          <w:p>
            <w:pPr>
              <w:pStyle w:val="Compact"/>
            </w:pPr>
            <w:r>
              <w:t xml:space="preserve">Rich clinical problem-list terminology where licensing and national access permit it.</w:t>
            </w:r>
          </w:p>
        </w:tc>
        <w:tc>
          <w:tcPr/>
          <w:p>
            <w:pPr>
              <w:pStyle w:val="Compact"/>
            </w:pPr>
            <w:r>
              <w:t xml:space="preserve">Distributed releases and implementation tooling; not a universally unrestricted public API.</w:t>
            </w:r>
          </w:p>
        </w:tc>
        <w:tc>
          <w:tcPr/>
          <w:p>
            <w:pPr>
              <w:pStyle w:val="Compact"/>
            </w:pPr>
            <w:r>
              <w:t xml:space="preserve">International Edition is released monthly.</w:t>
            </w:r>
          </w:p>
        </w:tc>
        <w:tc>
          <w:tcPr/>
          <w:p>
            <w:pPr>
              <w:pStyle w:val="Compact"/>
            </w:pPr>
            <w:r>
              <w:t xml:space="preserve">Licensing is mandatory in non-member territories, with annual usage requirements and, in some cases, fees.</w:t>
            </w:r>
          </w:p>
        </w:tc>
        <w:tc>
          <w:tcPr/>
          <w:p>
            <w:pPr>
              <w:pStyle w:val="Compact"/>
            </w:pPr>
            <w:r>
              <w:t xml:space="preserve">Excellent if you already have lawful access, but incompatible with a strict public-domain-only requirement.</w:t>
            </w:r>
            <w:r>
              <w:t xml:space="preserve"> </w:t>
            </w:r>
            <w:hyperlink r:id="rId37">
              <w:r>
                <w:rPr>
                  <w:rStyle w:val="Hyperlink"/>
                </w:rPr>
                <w:t xml:space="preserve">[20]</w:t>
              </w:r>
            </w:hyperlink>
          </w:p>
        </w:tc>
      </w:tr>
      <w:tr>
        <w:tc>
          <w:tcPr/>
          <w:p>
            <w:pPr>
              <w:pStyle w:val="Compact"/>
            </w:pPr>
            <w:r>
              <w:rPr>
                <w:b/>
                <w:bCs/>
              </w:rPr>
              <w:t xml:space="preserve">PubMed</w:t>
            </w:r>
          </w:p>
        </w:tc>
        <w:tc>
          <w:tcPr/>
          <w:p>
            <w:pPr>
              <w:pStyle w:val="Compact"/>
            </w:pPr>
            <w:r>
              <w:t xml:space="preserve">Literature search, surveillance, and citation discovery for evidence enrichment.</w:t>
            </w:r>
          </w:p>
        </w:tc>
        <w:tc>
          <w:tcPr/>
          <w:p>
            <w:pPr>
              <w:pStyle w:val="Compact"/>
            </w:pPr>
            <w:r>
              <w:t xml:space="preserve">E-utilities API and FTP/download options.</w:t>
            </w:r>
          </w:p>
        </w:tc>
        <w:tc>
          <w:tcPr/>
          <w:p>
            <w:pPr>
              <w:pStyle w:val="Compact"/>
            </w:pPr>
            <w:r>
              <w:t xml:space="preserve">Live corpus; E-utilities are query-driven.</w:t>
            </w:r>
          </w:p>
        </w:tc>
        <w:tc>
          <w:tcPr/>
          <w:p>
            <w:pPr>
              <w:pStyle w:val="Compact"/>
            </w:pPr>
            <w:r>
              <w:t xml:space="preserve">Public search and metadata access; citation reuse is straightforward, but underlying article rights vary.</w:t>
            </w:r>
          </w:p>
        </w:tc>
        <w:tc>
          <w:tcPr/>
          <w:p>
            <w:pPr>
              <w:pStyle w:val="Compact"/>
            </w:pPr>
            <w:r>
              <w:t xml:space="preserve">Excellent for evidence discovery, but not itself a product-label or rule source.</w:t>
            </w:r>
            <w:r>
              <w:t xml:space="preserve"> </w:t>
            </w:r>
            <w:hyperlink r:id="rId38">
              <w:r>
                <w:rPr>
                  <w:rStyle w:val="Hyperlink"/>
                </w:rPr>
                <w:t xml:space="preserve">[21]</w:t>
              </w:r>
            </w:hyperlink>
          </w:p>
        </w:tc>
      </w:tr>
      <w:tr>
        <w:tc>
          <w:tcPr/>
          <w:p>
            <w:pPr>
              <w:pStyle w:val="Compact"/>
            </w:pPr>
            <w:r>
              <w:rPr>
                <w:b/>
                <w:bCs/>
              </w:rPr>
              <w:t xml:space="preserve">PMC Open Access Subset</w:t>
            </w:r>
          </w:p>
        </w:tc>
        <w:tc>
          <w:tcPr/>
          <w:p>
            <w:pPr>
              <w:pStyle w:val="Compact"/>
            </w:pPr>
            <w:r>
              <w:t xml:space="preserve">Reusable full text for text mining, model validation, and evidence extraction when license permits.</w:t>
            </w:r>
          </w:p>
        </w:tc>
        <w:tc>
          <w:tcPr/>
          <w:p>
            <w:pPr>
              <w:pStyle w:val="Compact"/>
            </w:pPr>
            <w:r>
              <w:t xml:space="preserve">OA subset, cloud service, FTP, and related services.</w:t>
            </w:r>
          </w:p>
        </w:tc>
        <w:tc>
          <w:tcPr/>
          <w:p>
            <w:pPr>
              <w:pStyle w:val="Compact"/>
            </w:pPr>
            <w:r>
              <w:t xml:space="preserve">Continuously updated with PMC ingest.</w:t>
            </w:r>
          </w:p>
        </w:tc>
        <w:tc>
          <w:tcPr/>
          <w:p>
            <w:pPr>
              <w:pStyle w:val="Compact"/>
            </w:pPr>
            <w:r>
              <w:t xml:space="preserve">Only the OA subset is broadly reusable; many PMC articles remain under copyright.</w:t>
            </w:r>
          </w:p>
        </w:tc>
        <w:tc>
          <w:tcPr/>
          <w:p>
            <w:pPr>
              <w:pStyle w:val="Compact"/>
            </w:pPr>
            <w:r>
              <w:t xml:space="preserve">Critical distinction: free-to-read is not the same as free-to-reuse.</w:t>
            </w:r>
            <w:r>
              <w:t xml:space="preserve"> </w:t>
            </w:r>
            <w:hyperlink r:id="rId39">
              <w:r>
                <w:rPr>
                  <w:rStyle w:val="Hyperlink"/>
                </w:rPr>
                <w:t xml:space="preserve">[22]</w:t>
              </w:r>
            </w:hyperlink>
          </w:p>
        </w:tc>
      </w:tr>
      <w:tr>
        <w:tc>
          <w:tcPr/>
          <w:p>
            <w:pPr>
              <w:pStyle w:val="Compact"/>
            </w:pPr>
            <w:r>
              <w:rPr>
                <w:b/>
                <w:bCs/>
              </w:rPr>
              <w:t xml:space="preserve">NICE syndication API</w:t>
            </w:r>
          </w:p>
        </w:tc>
        <w:tc>
          <w:tcPr/>
          <w:p>
            <w:pPr>
              <w:pStyle w:val="Compact"/>
            </w:pPr>
            <w:r>
              <w:t xml:space="preserve">Official guideline and patient-information enrichment in a machine-readable format.</w:t>
            </w:r>
          </w:p>
        </w:tc>
        <w:tc>
          <w:tcPr/>
          <w:p>
            <w:pPr>
              <w:pStyle w:val="Compact"/>
            </w:pPr>
            <w:r>
              <w:t xml:space="preserve">Syndication API with REST-style access.</w:t>
            </w:r>
          </w:p>
        </w:tc>
        <w:tc>
          <w:tcPr/>
          <w:p>
            <w:pPr>
              <w:pStyle w:val="Compact"/>
            </w:pPr>
            <w:r>
              <w:t xml:space="preserve">NICE says content is periodically reviewed and updated; recommended refresh is at least every 24 hours for feeds and every 7 days for other information.</w:t>
            </w:r>
          </w:p>
        </w:tc>
        <w:tc>
          <w:tcPr/>
          <w:p>
            <w:pPr>
              <w:pStyle w:val="Compact"/>
            </w:pPr>
            <w:r>
              <w:t xml:space="preserve">Access is subject to licence; metadata-only and UK-only scenarios may be free, but some international uses and broader content uses carry fees.</w:t>
            </w:r>
          </w:p>
        </w:tc>
        <w:tc>
          <w:tcPr/>
          <w:p>
            <w:pPr>
              <w:pStyle w:val="Compact"/>
            </w:pPr>
            <w:r>
              <w:t xml:space="preserve">Useful for evidence and alternatives, but lower priority than label data because of licensing and scope constraints.</w:t>
            </w:r>
            <w:r>
              <w:t xml:space="preserve"> </w:t>
            </w:r>
            <w:hyperlink r:id="rId40">
              <w:r>
                <w:rPr>
                  <w:rStyle w:val="Hyperlink"/>
                </w:rPr>
                <w:t xml:space="preserve">[23]</w:t>
              </w:r>
            </w:hyperlink>
          </w:p>
        </w:tc>
      </w:tr>
      <w:tr>
        <w:tc>
          <w:tcPr/>
          <w:p>
            <w:pPr>
              <w:pStyle w:val="Compact"/>
            </w:pPr>
            <w:r>
              <w:rPr>
                <w:b/>
                <w:bCs/>
              </w:rPr>
              <w:t xml:space="preserve">EMA scientific-guideline JSON</w:t>
            </w:r>
          </w:p>
        </w:tc>
        <w:tc>
          <w:tcPr/>
          <w:p>
            <w:pPr>
              <w:pStyle w:val="Compact"/>
            </w:pPr>
            <w:r>
              <w:t xml:space="preserve">EU scientific-guideline and regulatory-guidance enrichment.</w:t>
            </w:r>
          </w:p>
        </w:tc>
        <w:tc>
          <w:tcPr/>
          <w:p>
            <w:pPr>
              <w:pStyle w:val="Compact"/>
            </w:pPr>
            <w:r>
              <w:t xml:space="preserve">Included in EMA JSON feeds.</w:t>
            </w:r>
          </w:p>
        </w:tc>
        <w:tc>
          <w:tcPr/>
          <w:p>
            <w:pPr>
              <w:pStyle w:val="Compact"/>
            </w:pPr>
            <w:r>
              <w:t xml:space="preserve">Twice daily JSON update cycle.</w:t>
            </w:r>
          </w:p>
        </w:tc>
        <w:tc>
          <w:tcPr/>
          <w:p>
            <w:pPr>
              <w:pStyle w:val="Compact"/>
            </w:pPr>
            <w:r>
              <w:t xml:space="preserve">Attribution-based reuse under EMA site terms.</w:t>
            </w:r>
          </w:p>
        </w:tc>
        <w:tc>
          <w:tcPr/>
          <w:p>
            <w:pPr>
              <w:pStyle w:val="Compact"/>
            </w:pPr>
            <w:r>
              <w:t xml:space="preserve">Best as a supplemental evidence source rather than a universal rules API.</w:t>
            </w:r>
            <w:r>
              <w:t xml:space="preserve"> </w:t>
            </w:r>
            <w:hyperlink r:id="rId32">
              <w:r>
                <w:rPr>
                  <w:rStyle w:val="Hyperlink"/>
                </w:rPr>
                <w:t xml:space="preserve">[24]</w:t>
              </w:r>
            </w:hyperlink>
          </w:p>
        </w:tc>
      </w:tr>
    </w:tbl>
    <w:p>
      <w:pPr>
        <w:pStyle w:val="BodyText"/>
      </w:pPr>
      <w:r>
        <w:t xml:space="preserve">Taken together, these sources imply a clear prioritization. The</w:t>
      </w:r>
      <w:r>
        <w:t xml:space="preserve"> </w:t>
      </w:r>
      <w:r>
        <w:rPr>
          <w:b/>
          <w:bCs/>
        </w:rPr>
        <w:t xml:space="preserve">minimum viable trusted stack</w:t>
      </w:r>
      <w:r>
        <w:t xml:space="preserve"> </w:t>
      </w:r>
      <w:r>
        <w:t xml:space="preserve">is DailyMed, openFDA label/NDC/Drugs@FDA, RxNorm, RxClass, and ICD-11. If you can accept more than pure public-domain terms, EMA JSON/ePI, NHS content, WHO EML/ATC, PubMed/PMC, and NICE add real value. If you can accept license-governed terminology, SNOMED CT becomes very attractive for richer problem-list ingestion.</w:t>
      </w:r>
      <w:r>
        <w:t xml:space="preserve"> </w:t>
      </w:r>
      <w:hyperlink r:id="rId21">
        <w:r>
          <w:rPr>
            <w:rStyle w:val="Hyperlink"/>
          </w:rPr>
          <w:t xml:space="preserve">[25]</w:t>
        </w:r>
      </w:hyperlink>
    </w:p>
    <w:bookmarkEnd w:id="41"/>
    <w:bookmarkEnd w:id="42"/>
    <w:bookmarkStart w:id="48" w:name="data-model-and-schema"/>
    <w:p>
      <w:pPr>
        <w:pStyle w:val="Heading2"/>
      </w:pPr>
      <w:r>
        <w:t xml:space="preserve">Data model and schema</w:t>
      </w:r>
    </w:p>
    <w:p>
      <w:pPr>
        <w:pStyle w:val="FirstParagraph"/>
      </w:pPr>
      <w:r>
        <w:t xml:space="preserve">The normalized knowledge model should be</w:t>
      </w:r>
      <w:r>
        <w:t xml:space="preserve"> </w:t>
      </w:r>
      <w:r>
        <w:rPr>
          <w:b/>
          <w:bCs/>
        </w:rPr>
        <w:t xml:space="preserve">ingredient-centric</w:t>
      </w:r>
      <w:r>
        <w:t xml:space="preserve">, with product-label overlays, class relations, condition rules, population qualifiers, and evidence records. That is the only model that scales across contraindications, cautions, interactions, age restrictions, route qualifiers, and comorbidities without duplicating the same fact in many places. It also matches the way public sources expose data: RxNorm and RxClass are identity and class systems; DailyMed and openFDA are product-label systems; ICD-11 and SNOMED CT are condition systems; PubMed/PMC and NICE/EMA guidelines are evidence systems.</w:t>
      </w:r>
      <w:r>
        <w:t xml:space="preserve"> </w:t>
      </w:r>
      <w:hyperlink r:id="rId30">
        <w:r>
          <w:rPr>
            <w:rStyle w:val="Hyperlink"/>
          </w:rPr>
          <w:t xml:space="preserve">[26]</w:t>
        </w:r>
      </w:hyperlink>
    </w:p>
    <w:p>
      <w:pPr>
        <w:pStyle w:val="BodyText"/>
      </w:pPr>
      <w:r>
        <w:t xml:space="preserve">Your schema should preserve both</w:t>
      </w:r>
      <w:r>
        <w:t xml:space="preserve"> </w:t>
      </w:r>
      <w:r>
        <w:rPr>
          <w:b/>
          <w:bCs/>
        </w:rPr>
        <w:t xml:space="preserve">raw source evidence</w:t>
      </w:r>
      <w:r>
        <w:t xml:space="preserve"> </w:t>
      </w:r>
      <w:r>
        <w:t xml:space="preserve">and</w:t>
      </w:r>
      <w:r>
        <w:t xml:space="preserve"> </w:t>
      </w:r>
      <w:r>
        <w:rPr>
          <w:b/>
          <w:bCs/>
        </w:rPr>
        <w:t xml:space="preserve">normalized rule objects</w:t>
      </w:r>
      <w:r>
        <w:t xml:space="preserve">. Raw evidence is essential because DailyMed and openFDA both carry explicit disclaimers about labeling differences and verification, and because clinical reviewers need to audit any severity escalation back to the exact label or document version that generated it.</w:t>
      </w:r>
      <w:r>
        <w:t xml:space="preserve"> </w:t>
      </w:r>
      <w:hyperlink r:id="rId21">
        <w:r>
          <w:rPr>
            <w:rStyle w:val="Hyperlink"/>
          </w:rPr>
          <w:t xml:space="preserve">[7]</w:t>
        </w:r>
      </w:hyperlink>
    </w:p>
    <w:bookmarkStart w:id="44" w:name="recommended-fields-to-capture"/>
    <w:p>
      <w:pPr>
        <w:pStyle w:val="Heading3"/>
      </w:pPr>
      <w:r>
        <w:t xml:space="preserve">Recommended fields to capture</w:t>
      </w:r>
    </w:p>
    <w:p>
      <w:pPr>
        <w:pStyle w:val="FirstParagraph"/>
      </w:pPr>
      <w:r>
        <w:t xml:space="preserve">The most useful field groups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group</w:t>
            </w:r>
          </w:p>
        </w:tc>
        <w:tc>
          <w:tcPr/>
          <w:p>
            <w:pPr>
              <w:pStyle w:val="Compact"/>
            </w:pPr>
            <w:r>
              <w:t xml:space="preserve">Recommended fields</w:t>
            </w:r>
          </w:p>
        </w:tc>
      </w:tr>
      <w:tr>
        <w:tc>
          <w:tcPr/>
          <w:p>
            <w:pPr>
              <w:pStyle w:val="Compact"/>
            </w:pPr>
            <w:r>
              <w:rPr>
                <w:b/>
                <w:bCs/>
              </w:rPr>
              <w:t xml:space="preserve">Medication identity</w:t>
            </w:r>
          </w:p>
        </w:tc>
        <w:tc>
          <w:tcPr/>
          <w:p>
            <w:pPr>
              <w:pStyle w:val="Compact"/>
            </w:pPr>
            <w:r>
              <w:rPr>
                <w:rStyle w:val="VerbatimChar"/>
              </w:rPr>
              <w:t xml:space="preserve">ingredient_name</w:t>
            </w:r>
            <w:r>
              <w:t xml:space="preserve">,</w:t>
            </w:r>
            <w:r>
              <w:t xml:space="preserve"> </w:t>
            </w:r>
            <w:r>
              <w:rPr>
                <w:rStyle w:val="VerbatimChar"/>
              </w:rPr>
              <w:t xml:space="preserve">brand_name</w:t>
            </w:r>
            <w:r>
              <w:t xml:space="preserve">,</w:t>
            </w:r>
            <w:r>
              <w:t xml:space="preserve"> </w:t>
            </w:r>
            <w:r>
              <w:rPr>
                <w:rStyle w:val="VerbatimChar"/>
              </w:rPr>
              <w:t xml:space="preserve">rxcui</w:t>
            </w:r>
            <w:r>
              <w:t xml:space="preserve">,</w:t>
            </w:r>
            <w:r>
              <w:t xml:space="preserve"> </w:t>
            </w:r>
            <w:r>
              <w:rPr>
                <w:rStyle w:val="VerbatimChar"/>
              </w:rPr>
              <w:t xml:space="preserve">ndc</w:t>
            </w:r>
            <w:r>
              <w:t xml:space="preserve">,</w:t>
            </w:r>
            <w:r>
              <w:t xml:space="preserve"> </w:t>
            </w:r>
            <w:r>
              <w:rPr>
                <w:rStyle w:val="VerbatimChar"/>
              </w:rPr>
              <w:t xml:space="preserve">set_id</w:t>
            </w:r>
            <w:r>
              <w:t xml:space="preserve">,</w:t>
            </w:r>
            <w:r>
              <w:t xml:space="preserve"> </w:t>
            </w:r>
            <w:r>
              <w:rPr>
                <w:rStyle w:val="VerbatimChar"/>
              </w:rPr>
              <w:t xml:space="preserve">unii</w:t>
            </w:r>
            <w:r>
              <w:t xml:space="preserve">,</w:t>
            </w:r>
            <w:r>
              <w:t xml:space="preserve"> </w:t>
            </w:r>
            <w:r>
              <w:rPr>
                <w:rStyle w:val="VerbatimChar"/>
              </w:rPr>
              <w:t xml:space="preserve">strength</w:t>
            </w:r>
            <w:r>
              <w:t xml:space="preserve">,</w:t>
            </w:r>
            <w:r>
              <w:t xml:space="preserve"> </w:t>
            </w:r>
            <w:r>
              <w:rPr>
                <w:rStyle w:val="VerbatimChar"/>
              </w:rPr>
              <w:t xml:space="preserve">dosage_form</w:t>
            </w:r>
            <w:r>
              <w:t xml:space="preserve">,</w:t>
            </w:r>
            <w:r>
              <w:t xml:space="preserve"> </w:t>
            </w:r>
            <w:r>
              <w:rPr>
                <w:rStyle w:val="VerbatimChar"/>
              </w:rPr>
              <w:t xml:space="preserve">route</w:t>
            </w:r>
            <w:r>
              <w:t xml:space="preserve">,</w:t>
            </w:r>
            <w:r>
              <w:t xml:space="preserve"> </w:t>
            </w:r>
            <w:r>
              <w:rPr>
                <w:rStyle w:val="VerbatimChar"/>
              </w:rPr>
              <w:t xml:space="preserve">manufacturer</w:t>
            </w:r>
            <w:r>
              <w:t xml:space="preserve">,</w:t>
            </w:r>
            <w:r>
              <w:t xml:space="preserve"> </w:t>
            </w:r>
            <w:r>
              <w:rPr>
                <w:rStyle w:val="VerbatimChar"/>
              </w:rPr>
              <w:t xml:space="preserve">marketing_category</w:t>
            </w:r>
          </w:p>
        </w:tc>
      </w:tr>
      <w:tr>
        <w:tc>
          <w:tcPr/>
          <w:p>
            <w:pPr>
              <w:pStyle w:val="Compact"/>
            </w:pPr>
            <w:r>
              <w:rPr>
                <w:b/>
                <w:bCs/>
              </w:rPr>
              <w:t xml:space="preserve">Class and taxonomy</w:t>
            </w:r>
          </w:p>
        </w:tc>
        <w:tc>
          <w:tcPr/>
          <w:p>
            <w:pPr>
              <w:pStyle w:val="Compact"/>
            </w:pPr>
            <w:r>
              <w:rPr>
                <w:rStyle w:val="VerbatimChar"/>
              </w:rPr>
              <w:t xml:space="preserve">class_id</w:t>
            </w:r>
            <w:r>
              <w:t xml:space="preserve">,</w:t>
            </w:r>
            <w:r>
              <w:t xml:space="preserve"> </w:t>
            </w:r>
            <w:r>
              <w:rPr>
                <w:rStyle w:val="VerbatimChar"/>
              </w:rPr>
              <w:t xml:space="preserve">class_name</w:t>
            </w:r>
            <w:r>
              <w:t xml:space="preserve">,</w:t>
            </w:r>
            <w:r>
              <w:t xml:space="preserve"> </w:t>
            </w:r>
            <w:r>
              <w:rPr>
                <w:rStyle w:val="VerbatimChar"/>
              </w:rPr>
              <w:t xml:space="preserve">class_source</w:t>
            </w:r>
            <w:r>
              <w:t xml:space="preserve">,</w:t>
            </w:r>
            <w:r>
              <w:t xml:space="preserve"> </w:t>
            </w:r>
            <w:r>
              <w:rPr>
                <w:rStyle w:val="VerbatimChar"/>
              </w:rPr>
              <w:t xml:space="preserve">atc_code</w:t>
            </w:r>
            <w:r>
              <w:t xml:space="preserve">,</w:t>
            </w:r>
            <w:r>
              <w:t xml:space="preserve"> </w:t>
            </w:r>
            <w:r>
              <w:rPr>
                <w:rStyle w:val="VerbatimChar"/>
              </w:rPr>
              <w:t xml:space="preserve">rxclass_relation</w:t>
            </w:r>
            <w:r>
              <w:t xml:space="preserve">,</w:t>
            </w:r>
            <w:r>
              <w:t xml:space="preserve"> </w:t>
            </w:r>
            <w:r>
              <w:rPr>
                <w:rStyle w:val="VerbatimChar"/>
              </w:rPr>
              <w:t xml:space="preserve">generic_product_rxcui</w:t>
            </w:r>
          </w:p>
        </w:tc>
      </w:tr>
      <w:tr>
        <w:tc>
          <w:tcPr/>
          <w:p>
            <w:pPr>
              <w:pStyle w:val="Compact"/>
            </w:pPr>
            <w:r>
              <w:rPr>
                <w:b/>
                <w:bCs/>
              </w:rPr>
              <w:t xml:space="preserve">Label evidence</w:t>
            </w:r>
          </w:p>
        </w:tc>
        <w:tc>
          <w:tcPr/>
          <w:p>
            <w:pPr>
              <w:pStyle w:val="Compact"/>
            </w:pPr>
            <w:r>
              <w:rPr>
                <w:rStyle w:val="VerbatimChar"/>
              </w:rPr>
              <w:t xml:space="preserve">boxed_warning_text</w:t>
            </w:r>
            <w:r>
              <w:t xml:space="preserve">,</w:t>
            </w:r>
            <w:r>
              <w:t xml:space="preserve"> </w:t>
            </w:r>
            <w:r>
              <w:rPr>
                <w:rStyle w:val="VerbatimChar"/>
              </w:rPr>
              <w:t xml:space="preserve">contraindications_text</w:t>
            </w:r>
            <w:r>
              <w:t xml:space="preserve">,</w:t>
            </w:r>
            <w:r>
              <w:t xml:space="preserve"> </w:t>
            </w:r>
            <w:r>
              <w:rPr>
                <w:rStyle w:val="VerbatimChar"/>
              </w:rPr>
              <w:t xml:space="preserve">warnings_precautions_text</w:t>
            </w:r>
            <w:r>
              <w:t xml:space="preserve">,</w:t>
            </w:r>
            <w:r>
              <w:t xml:space="preserve"> </w:t>
            </w:r>
            <w:r>
              <w:rPr>
                <w:rStyle w:val="VerbatimChar"/>
              </w:rPr>
              <w:t xml:space="preserve">drug_interactions_text</w:t>
            </w:r>
            <w:r>
              <w:t xml:space="preserve">,</w:t>
            </w:r>
            <w:r>
              <w:t xml:space="preserve"> </w:t>
            </w:r>
            <w:r>
              <w:rPr>
                <w:rStyle w:val="VerbatimChar"/>
              </w:rPr>
              <w:t xml:space="preserve">pediatric_use_text</w:t>
            </w:r>
            <w:r>
              <w:t xml:space="preserve">,</w:t>
            </w:r>
            <w:r>
              <w:t xml:space="preserve"> </w:t>
            </w:r>
            <w:r>
              <w:rPr>
                <w:rStyle w:val="VerbatimChar"/>
              </w:rPr>
              <w:t xml:space="preserve">geriatric_use_text</w:t>
            </w:r>
            <w:r>
              <w:t xml:space="preserve">,</w:t>
            </w:r>
            <w:r>
              <w:t xml:space="preserve"> </w:t>
            </w:r>
            <w:r>
              <w:rPr>
                <w:rStyle w:val="VerbatimChar"/>
              </w:rPr>
              <w:t xml:space="preserve">pregnancy_text</w:t>
            </w:r>
            <w:r>
              <w:t xml:space="preserve">,</w:t>
            </w:r>
            <w:r>
              <w:t xml:space="preserve"> </w:t>
            </w:r>
            <w:r>
              <w:rPr>
                <w:rStyle w:val="VerbatimChar"/>
              </w:rPr>
              <w:t xml:space="preserve">lactation_text</w:t>
            </w:r>
            <w:r>
              <w:t xml:space="preserve">,</w:t>
            </w:r>
            <w:r>
              <w:t xml:space="preserve"> </w:t>
            </w:r>
            <w:r>
              <w:rPr>
                <w:rStyle w:val="VerbatimChar"/>
              </w:rPr>
              <w:t xml:space="preserve">use_in_specific_populations_text</w:t>
            </w:r>
            <w:r>
              <w:t xml:space="preserve">,</w:t>
            </w:r>
            <w:r>
              <w:t xml:space="preserve"> </w:t>
            </w:r>
            <w:r>
              <w:rPr>
                <w:rStyle w:val="VerbatimChar"/>
              </w:rPr>
              <w:t xml:space="preserve">dosage_and_administration_text</w:t>
            </w:r>
            <w:r>
              <w:t xml:space="preserve">,</w:t>
            </w:r>
            <w:r>
              <w:t xml:space="preserve"> </w:t>
            </w:r>
            <w:r>
              <w:rPr>
                <w:rStyle w:val="VerbatimChar"/>
              </w:rPr>
              <w:t xml:space="preserve">recent_major_changes_text</w:t>
            </w:r>
          </w:p>
        </w:tc>
      </w:tr>
      <w:tr>
        <w:tc>
          <w:tcPr/>
          <w:p>
            <w:pPr>
              <w:pStyle w:val="Compact"/>
            </w:pPr>
            <w:r>
              <w:rPr>
                <w:b/>
                <w:bCs/>
              </w:rPr>
              <w:t xml:space="preserve">Population qualifiers</w:t>
            </w:r>
          </w:p>
        </w:tc>
        <w:tc>
          <w:tcPr/>
          <w:p>
            <w:pPr>
              <w:pStyle w:val="Compact"/>
            </w:pPr>
            <w:r>
              <w:rPr>
                <w:rStyle w:val="VerbatimChar"/>
              </w:rPr>
              <w:t xml:space="preserve">age_min</w:t>
            </w:r>
            <w:r>
              <w:t xml:space="preserve">,</w:t>
            </w:r>
            <w:r>
              <w:t xml:space="preserve"> </w:t>
            </w:r>
            <w:r>
              <w:rPr>
                <w:rStyle w:val="VerbatimChar"/>
              </w:rPr>
              <w:t xml:space="preserve">age_max</w:t>
            </w:r>
            <w:r>
              <w:t xml:space="preserve">,</w:t>
            </w:r>
            <w:r>
              <w:t xml:space="preserve"> </w:t>
            </w:r>
            <w:r>
              <w:rPr>
                <w:rStyle w:val="VerbatimChar"/>
              </w:rPr>
              <w:t xml:space="preserve">age_band</w:t>
            </w:r>
            <w:r>
              <w:t xml:space="preserve">,</w:t>
            </w:r>
            <w:r>
              <w:t xml:space="preserve"> </w:t>
            </w:r>
            <w:r>
              <w:rPr>
                <w:rStyle w:val="VerbatimChar"/>
              </w:rPr>
              <w:t xml:space="preserve">renal_impairment_scope</w:t>
            </w:r>
            <w:r>
              <w:t xml:space="preserve">,</w:t>
            </w:r>
            <w:r>
              <w:t xml:space="preserve"> </w:t>
            </w:r>
            <w:r>
              <w:rPr>
                <w:rStyle w:val="VerbatimChar"/>
              </w:rPr>
              <w:t xml:space="preserve">hepatic_impairment_scope</w:t>
            </w:r>
            <w:r>
              <w:t xml:space="preserve">,</w:t>
            </w:r>
            <w:r>
              <w:t xml:space="preserve"> </w:t>
            </w:r>
            <w:r>
              <w:rPr>
                <w:rStyle w:val="VerbatimChar"/>
              </w:rPr>
              <w:t xml:space="preserve">pregnancy_scope</w:t>
            </w:r>
            <w:r>
              <w:t xml:space="preserve">,</w:t>
            </w:r>
            <w:r>
              <w:t xml:space="preserve"> </w:t>
            </w:r>
            <w:r>
              <w:rPr>
                <w:rStyle w:val="VerbatimChar"/>
              </w:rPr>
              <w:t xml:space="preserve">lactation_scope</w:t>
            </w:r>
            <w:r>
              <w:t xml:space="preserve">,</w:t>
            </w:r>
            <w:r>
              <w:t xml:space="preserve"> </w:t>
            </w:r>
            <w:r>
              <w:rPr>
                <w:rStyle w:val="VerbatimChar"/>
              </w:rPr>
              <w:t xml:space="preserve">genetic_condition_scope</w:t>
            </w:r>
            <w:r>
              <w:t xml:space="preserve">,</w:t>
            </w:r>
            <w:r>
              <w:t xml:space="preserve"> </w:t>
            </w:r>
            <w:r>
              <w:rPr>
                <w:rStyle w:val="VerbatimChar"/>
              </w:rPr>
              <w:t xml:space="preserve">route_scope</w:t>
            </w:r>
            <w:r>
              <w:t xml:space="preserve">,</w:t>
            </w:r>
            <w:r>
              <w:t xml:space="preserve"> </w:t>
            </w:r>
            <w:r>
              <w:rPr>
                <w:rStyle w:val="VerbatimChar"/>
              </w:rPr>
              <w:t xml:space="preserve">dose_scope</w:t>
            </w:r>
          </w:p>
        </w:tc>
      </w:tr>
      <w:tr>
        <w:tc>
          <w:tcPr/>
          <w:p>
            <w:pPr>
              <w:pStyle w:val="Compact"/>
            </w:pPr>
            <w:r>
              <w:rPr>
                <w:b/>
                <w:bCs/>
              </w:rPr>
              <w:t xml:space="preserve">Condition rules</w:t>
            </w:r>
          </w:p>
        </w:tc>
        <w:tc>
          <w:tcPr/>
          <w:p>
            <w:pPr>
              <w:pStyle w:val="Compact"/>
            </w:pPr>
            <w:r>
              <w:rPr>
                <w:rStyle w:val="VerbatimChar"/>
              </w:rPr>
              <w:t xml:space="preserve">condition_code_system</w:t>
            </w:r>
            <w:r>
              <w:t xml:space="preserve">,</w:t>
            </w:r>
            <w:r>
              <w:t xml:space="preserve"> </w:t>
            </w:r>
            <w:r>
              <w:rPr>
                <w:rStyle w:val="VerbatimChar"/>
              </w:rPr>
              <w:t xml:space="preserve">condition_code</w:t>
            </w:r>
            <w:r>
              <w:t xml:space="preserve">,</w:t>
            </w:r>
            <w:r>
              <w:t xml:space="preserve"> </w:t>
            </w:r>
            <w:r>
              <w:rPr>
                <w:rStyle w:val="VerbatimChar"/>
              </w:rPr>
              <w:t xml:space="preserve">condition_display</w:t>
            </w:r>
            <w:r>
              <w:t xml:space="preserve">,</w:t>
            </w:r>
            <w:r>
              <w:t xml:space="preserve"> </w:t>
            </w:r>
            <w:r>
              <w:rPr>
                <w:rStyle w:val="VerbatimChar"/>
              </w:rPr>
              <w:t xml:space="preserve">rule_type</w:t>
            </w:r>
            <w:r>
              <w:t xml:space="preserve">,</w:t>
            </w:r>
            <w:r>
              <w:t xml:space="preserve"> </w:t>
            </w:r>
            <w:r>
              <w:rPr>
                <w:rStyle w:val="VerbatimChar"/>
              </w:rPr>
              <w:t xml:space="preserve">rule_logic</w:t>
            </w:r>
            <w:r>
              <w:t xml:space="preserve">,</w:t>
            </w:r>
            <w:r>
              <w:t xml:space="preserve"> </w:t>
            </w:r>
            <w:r>
              <w:rPr>
                <w:rStyle w:val="VerbatimChar"/>
              </w:rPr>
              <w:t xml:space="preserve">exception_text</w:t>
            </w:r>
            <w:r>
              <w:t xml:space="preserve">,</w:t>
            </w:r>
            <w:r>
              <w:t xml:space="preserve"> </w:t>
            </w:r>
            <w:r>
              <w:rPr>
                <w:rStyle w:val="VerbatimChar"/>
              </w:rPr>
              <w:t xml:space="preserve">monitoring_parameter</w:t>
            </w:r>
            <w:r>
              <w:t xml:space="preserve">,</w:t>
            </w:r>
            <w:r>
              <w:t xml:space="preserve"> </w:t>
            </w:r>
            <w:r>
              <w:rPr>
                <w:rStyle w:val="VerbatimChar"/>
              </w:rPr>
              <w:t xml:space="preserve">monitoring_window</w:t>
            </w:r>
          </w:p>
        </w:tc>
      </w:tr>
      <w:tr>
        <w:tc>
          <w:tcPr/>
          <w:p>
            <w:pPr>
              <w:pStyle w:val="Compact"/>
            </w:pPr>
            <w:r>
              <w:rPr>
                <w:b/>
                <w:bCs/>
              </w:rPr>
              <w:t xml:space="preserve">Interaction rules</w:t>
            </w:r>
          </w:p>
        </w:tc>
        <w:tc>
          <w:tcPr/>
          <w:p>
            <w:pPr>
              <w:pStyle w:val="Compact"/>
            </w:pPr>
            <w:r>
              <w:rPr>
                <w:rStyle w:val="VerbatimChar"/>
              </w:rPr>
              <w:t xml:space="preserve">interacting_ingredient_rxcui</w:t>
            </w:r>
            <w:r>
              <w:t xml:space="preserve">,</w:t>
            </w:r>
            <w:r>
              <w:t xml:space="preserve"> </w:t>
            </w:r>
            <w:r>
              <w:rPr>
                <w:rStyle w:val="VerbatimChar"/>
              </w:rPr>
              <w:t xml:space="preserve">interacting_class_id</w:t>
            </w:r>
            <w:r>
              <w:t xml:space="preserve">,</w:t>
            </w:r>
            <w:r>
              <w:t xml:space="preserve"> </w:t>
            </w:r>
            <w:r>
              <w:rPr>
                <w:rStyle w:val="VerbatimChar"/>
              </w:rPr>
              <w:t xml:space="preserve">interaction_mechanism</w:t>
            </w:r>
            <w:r>
              <w:t xml:space="preserve">,</w:t>
            </w:r>
            <w:r>
              <w:t xml:space="preserve"> </w:t>
            </w:r>
            <w:r>
              <w:rPr>
                <w:rStyle w:val="VerbatimChar"/>
              </w:rPr>
              <w:t xml:space="preserve">interaction_consequence</w:t>
            </w:r>
            <w:r>
              <w:t xml:space="preserve">,</w:t>
            </w:r>
            <w:r>
              <w:t xml:space="preserve"> </w:t>
            </w:r>
            <w:r>
              <w:rPr>
                <w:rStyle w:val="VerbatimChar"/>
              </w:rPr>
              <w:t xml:space="preserve">management_recommendation</w:t>
            </w:r>
          </w:p>
        </w:tc>
      </w:tr>
      <w:tr>
        <w:tc>
          <w:tcPr/>
          <w:p>
            <w:pPr>
              <w:pStyle w:val="Compact"/>
            </w:pPr>
            <w:r>
              <w:rPr>
                <w:b/>
                <w:bCs/>
              </w:rPr>
              <w:t xml:space="preserve">Risk and provenance</w:t>
            </w:r>
          </w:p>
        </w:tc>
        <w:tc>
          <w:tcPr/>
          <w:p>
            <w:pPr>
              <w:pStyle w:val="Compact"/>
            </w:pPr>
            <w:r>
              <w:rPr>
                <w:rStyle w:val="VerbatimChar"/>
              </w:rPr>
              <w:t xml:space="preserve">severity_category</w:t>
            </w:r>
            <w:r>
              <w:t xml:space="preserve">,</w:t>
            </w:r>
            <w:r>
              <w:t xml:space="preserve"> </w:t>
            </w:r>
            <w:r>
              <w:rPr>
                <w:rStyle w:val="VerbatimChar"/>
              </w:rPr>
              <w:t xml:space="preserve">boxed_warning_boolean</w:t>
            </w:r>
            <w:r>
              <w:t xml:space="preserve">,</w:t>
            </w:r>
            <w:r>
              <w:t xml:space="preserve"> </w:t>
            </w:r>
            <w:r>
              <w:rPr>
                <w:rStyle w:val="VerbatimChar"/>
              </w:rPr>
              <w:t xml:space="preserve">evidence_level</w:t>
            </w:r>
            <w:r>
              <w:t xml:space="preserve">,</w:t>
            </w:r>
            <w:r>
              <w:t xml:space="preserve"> </w:t>
            </w:r>
            <w:r>
              <w:rPr>
                <w:rStyle w:val="VerbatimChar"/>
              </w:rPr>
              <w:t xml:space="preserve">source_type</w:t>
            </w:r>
            <w:r>
              <w:t xml:space="preserve">,</w:t>
            </w:r>
            <w:r>
              <w:t xml:space="preserve"> </w:t>
            </w:r>
            <w:r>
              <w:rPr>
                <w:rStyle w:val="VerbatimChar"/>
              </w:rPr>
              <w:t xml:space="preserve">source_name</w:t>
            </w:r>
            <w:r>
              <w:t xml:space="preserve">,</w:t>
            </w:r>
            <w:r>
              <w:t xml:space="preserve"> </w:t>
            </w:r>
            <w:r>
              <w:rPr>
                <w:rStyle w:val="VerbatimChar"/>
              </w:rPr>
              <w:t xml:space="preserve">source_url</w:t>
            </w:r>
            <w:r>
              <w:t xml:space="preserve">,</w:t>
            </w:r>
            <w:r>
              <w:t xml:space="preserve"> </w:t>
            </w:r>
            <w:r>
              <w:rPr>
                <w:rStyle w:val="VerbatimChar"/>
              </w:rPr>
              <w:t xml:space="preserve">effective_time</w:t>
            </w:r>
            <w:r>
              <w:t xml:space="preserve">,</w:t>
            </w:r>
            <w:r>
              <w:t xml:space="preserve"> </w:t>
            </w:r>
            <w:r>
              <w:rPr>
                <w:rStyle w:val="VerbatimChar"/>
              </w:rPr>
              <w:t xml:space="preserve">published_date</w:t>
            </w:r>
            <w:r>
              <w:t xml:space="preserve">,</w:t>
            </w:r>
            <w:r>
              <w:t xml:space="preserve"> </w:t>
            </w:r>
            <w:r>
              <w:rPr>
                <w:rStyle w:val="VerbatimChar"/>
              </w:rPr>
              <w:t xml:space="preserve">last_updated</w:t>
            </w:r>
            <w:r>
              <w:t xml:space="preserve">,</w:t>
            </w:r>
            <w:r>
              <w:t xml:space="preserve"> </w:t>
            </w:r>
            <w:r>
              <w:rPr>
                <w:rStyle w:val="VerbatimChar"/>
              </w:rPr>
              <w:t xml:space="preserve">last_checked_at</w:t>
            </w:r>
            <w:r>
              <w:t xml:space="preserve">,</w:t>
            </w:r>
            <w:r>
              <w:t xml:space="preserve"> </w:t>
            </w:r>
            <w:r>
              <w:rPr>
                <w:rStyle w:val="VerbatimChar"/>
              </w:rPr>
              <w:t xml:space="preserve">text_hash</w:t>
            </w:r>
          </w:p>
        </w:tc>
      </w:tr>
      <w:tr>
        <w:tc>
          <w:tcPr/>
          <w:p>
            <w:pPr>
              <w:pStyle w:val="Compact"/>
            </w:pPr>
            <w:r>
              <w:rPr>
                <w:b/>
                <w:bCs/>
              </w:rPr>
              <w:t xml:space="preserve">Clinical-operational fields</w:t>
            </w:r>
          </w:p>
        </w:tc>
        <w:tc>
          <w:tcPr/>
          <w:p>
            <w:pPr>
              <w:pStyle w:val="Compact"/>
            </w:pPr>
            <w:r>
              <w:rPr>
                <w:rStyle w:val="VerbatimChar"/>
              </w:rPr>
              <w:t xml:space="preserve">alternative_note</w:t>
            </w:r>
            <w:r>
              <w:t xml:space="preserve">,</w:t>
            </w:r>
            <w:r>
              <w:t xml:space="preserve"> </w:t>
            </w:r>
            <w:r>
              <w:rPr>
                <w:rStyle w:val="VerbatimChar"/>
              </w:rPr>
              <w:t xml:space="preserve">alternative_scope</w:t>
            </w:r>
            <w:r>
              <w:t xml:space="preserve">,</w:t>
            </w:r>
            <w:r>
              <w:t xml:space="preserve"> </w:t>
            </w:r>
            <w:r>
              <w:rPr>
                <w:rStyle w:val="VerbatimChar"/>
              </w:rPr>
              <w:t xml:space="preserve">review_status</w:t>
            </w:r>
            <w:r>
              <w:t xml:space="preserve">,</w:t>
            </w:r>
            <w:r>
              <w:t xml:space="preserve"> </w:t>
            </w:r>
            <w:r>
              <w:rPr>
                <w:rStyle w:val="VerbatimChar"/>
              </w:rPr>
              <w:t xml:space="preserve">clinical_owner</w:t>
            </w:r>
            <w:r>
              <w:t xml:space="preserve">,</w:t>
            </w:r>
            <w:r>
              <w:t xml:space="preserve"> </w:t>
            </w:r>
            <w:r>
              <w:rPr>
                <w:rStyle w:val="VerbatimChar"/>
              </w:rPr>
              <w:t xml:space="preserve">change_reason</w:t>
            </w:r>
            <w:r>
              <w:t xml:space="preserve">,</w:t>
            </w:r>
            <w:r>
              <w:t xml:space="preserve"> </w:t>
            </w:r>
            <w:r>
              <w:rPr>
                <w:rStyle w:val="VerbatimChar"/>
              </w:rPr>
              <w:t xml:space="preserve">version_id</w:t>
            </w:r>
          </w:p>
        </w:tc>
      </w:tr>
    </w:tbl>
    <w:p>
      <w:pPr>
        <w:pStyle w:val="BodyText"/>
      </w:pPr>
      <w:r>
        <w:t xml:space="preserve">Those fields are not arbitrary. FDA label APIs explicitly expose sections such as</w:t>
      </w:r>
      <w:r>
        <w:t xml:space="preserve"> </w:t>
      </w:r>
      <w:r>
        <w:rPr>
          <w:rStyle w:val="VerbatimChar"/>
        </w:rPr>
        <w:t xml:space="preserve">boxed_warning</w:t>
      </w:r>
      <w:r>
        <w:t xml:space="preserve">,</w:t>
      </w:r>
      <w:r>
        <w:t xml:space="preserve"> </w:t>
      </w:r>
      <w:r>
        <w:rPr>
          <w:rStyle w:val="VerbatimChar"/>
        </w:rPr>
        <w:t xml:space="preserve">contraindications</w:t>
      </w:r>
      <w:r>
        <w:t xml:space="preserve">,</w:t>
      </w:r>
      <w:r>
        <w:t xml:space="preserve"> </w:t>
      </w:r>
      <w:r>
        <w:rPr>
          <w:rStyle w:val="VerbatimChar"/>
        </w:rPr>
        <w:t xml:space="preserve">drug_interactions</w:t>
      </w:r>
      <w:r>
        <w:t xml:space="preserve">,</w:t>
      </w:r>
      <w:r>
        <w:t xml:space="preserve"> </w:t>
      </w:r>
      <w:r>
        <w:rPr>
          <w:rStyle w:val="VerbatimChar"/>
        </w:rPr>
        <w:t xml:space="preserve">pediatric_use</w:t>
      </w:r>
      <w:r>
        <w:t xml:space="preserve">,</w:t>
      </w:r>
      <w:r>
        <w:t xml:space="preserve"> </w:t>
      </w:r>
      <w:r>
        <w:rPr>
          <w:rStyle w:val="VerbatimChar"/>
        </w:rPr>
        <w:t xml:space="preserve">route</w:t>
      </w:r>
      <w:r>
        <w:t xml:space="preserve">,</w:t>
      </w:r>
      <w:r>
        <w:t xml:space="preserve"> </w:t>
      </w:r>
      <w:r>
        <w:rPr>
          <w:rStyle w:val="VerbatimChar"/>
        </w:rPr>
        <w:t xml:space="preserve">effective_time</w:t>
      </w:r>
      <w:r>
        <w:t xml:space="preserve">, and</w:t>
      </w:r>
      <w:r>
        <w:t xml:space="preserve"> </w:t>
      </w:r>
      <w:r>
        <w:rPr>
          <w:rStyle w:val="VerbatimChar"/>
        </w:rPr>
        <w:t xml:space="preserve">set_id</w:t>
      </w:r>
      <w:r>
        <w:t xml:space="preserve">; DailyMed exposes product filters and identifiers such as</w:t>
      </w:r>
      <w:r>
        <w:t xml:space="preserve"> </w:t>
      </w:r>
      <w:r>
        <w:rPr>
          <w:rStyle w:val="VerbatimChar"/>
        </w:rPr>
        <w:t xml:space="preserve">boxed_warning</w:t>
      </w:r>
      <w:r>
        <w:t xml:space="preserve">,</w:t>
      </w:r>
      <w:r>
        <w:t xml:space="preserve"> </w:t>
      </w:r>
      <w:r>
        <w:rPr>
          <w:rStyle w:val="VerbatimChar"/>
        </w:rPr>
        <w:t xml:space="preserve">drug_name</w:t>
      </w:r>
      <w:r>
        <w:t xml:space="preserve">,</w:t>
      </w:r>
      <w:r>
        <w:t xml:space="preserve"> </w:t>
      </w:r>
      <w:r>
        <w:rPr>
          <w:rStyle w:val="VerbatimChar"/>
        </w:rPr>
        <w:t xml:space="preserve">published_date</w:t>
      </w:r>
      <w:r>
        <w:t xml:space="preserve">,</w:t>
      </w:r>
      <w:r>
        <w:t xml:space="preserve"> </w:t>
      </w:r>
      <w:r>
        <w:rPr>
          <w:rStyle w:val="VerbatimChar"/>
        </w:rPr>
        <w:t xml:space="preserve">rxcui</w:t>
      </w:r>
      <w:r>
        <w:t xml:space="preserve">,</w:t>
      </w:r>
      <w:r>
        <w:t xml:space="preserve"> </w:t>
      </w:r>
      <w:r>
        <w:rPr>
          <w:rStyle w:val="VerbatimChar"/>
        </w:rPr>
        <w:t xml:space="preserve">ndc</w:t>
      </w:r>
      <w:r>
        <w:t xml:space="preserve">, and</w:t>
      </w:r>
      <w:r>
        <w:t xml:space="preserve"> </w:t>
      </w:r>
      <w:r>
        <w:rPr>
          <w:rStyle w:val="VerbatimChar"/>
        </w:rPr>
        <w:t xml:space="preserve">setid</w:t>
      </w:r>
      <w:r>
        <w:t xml:space="preserve">; EMA JSON includes fields such as medicine name, active substance, ATC code, first-published date, and last-updated date.</w:t>
      </w:r>
      <w:r>
        <w:t xml:space="preserve"> </w:t>
      </w:r>
      <w:hyperlink r:id="rId43">
        <w:r>
          <w:rPr>
            <w:rStyle w:val="Hyperlink"/>
          </w:rPr>
          <w:t xml:space="preserve">[27]</w:t>
        </w:r>
      </w:hyperlink>
    </w:p>
    <w:p>
      <w:pPr>
        <w:pStyle w:val="BodyText"/>
      </w:pPr>
      <w:r>
        <w:t xml:space="preserve">A key modeling rule is to keep</w:t>
      </w:r>
      <w:r>
        <w:t xml:space="preserve"> </w:t>
      </w:r>
      <w:r>
        <w:rPr>
          <w:rStyle w:val="VerbatimChar"/>
          <w:b/>
          <w:bCs/>
        </w:rPr>
        <w:t xml:space="preserve">boxed_warning_boolean</w:t>
      </w:r>
      <w:r>
        <w:rPr>
          <w:b/>
          <w:bCs/>
        </w:rPr>
        <w:t xml:space="preserve"> </w:t>
      </w:r>
      <w:r>
        <w:rPr>
          <w:b/>
          <w:bCs/>
        </w:rPr>
        <w:t xml:space="preserve">separate from</w:t>
      </w:r>
      <w:r>
        <w:rPr>
          <w:b/>
          <w:bCs/>
        </w:rPr>
        <w:t xml:space="preserve"> </w:t>
      </w:r>
      <w:r>
        <w:rPr>
          <w:rStyle w:val="VerbatimChar"/>
          <w:b/>
          <w:bCs/>
        </w:rPr>
        <w:t xml:space="preserve">severity_category</w:t>
      </w:r>
      <w:r>
        <w:t xml:space="preserve">. Boxed warning is a regulatory property of the label section; severity is your application’s interpretation in context. A boxed warning does not always mean “contraindicated,” and “contraindicated” can also appear outside the boxed-warning section. DailyMed and openFDA both reflect boxed warnings and contraindications as separate label concepts, so your schema should do the same.</w:t>
      </w:r>
      <w:r>
        <w:t xml:space="preserve"> </w:t>
      </w:r>
      <w:hyperlink r:id="rId21">
        <w:r>
          <w:rPr>
            <w:rStyle w:val="Hyperlink"/>
          </w:rPr>
          <w:t xml:space="preserve">[28]</w:t>
        </w:r>
      </w:hyperlink>
    </w:p>
    <w:bookmarkEnd w:id="44"/>
    <w:bookmarkStart w:id="45" w:name="recommended-severity-taxonomy"/>
    <w:p>
      <w:pPr>
        <w:pStyle w:val="Heading3"/>
      </w:pPr>
      <w:r>
        <w:t xml:space="preserve">Recommended severity taxonomy</w:t>
      </w:r>
    </w:p>
    <w:p>
      <w:pPr>
        <w:pStyle w:val="FirstParagraph"/>
      </w:pPr>
      <w:r>
        <w:t xml:space="preserve">The severity model should be simple enough for users to understand and formal enough for engineers to implement:</w:t>
      </w:r>
    </w:p>
    <w:p>
      <w:pPr>
        <w:pStyle w:val="Compact"/>
        <w:numPr>
          <w:ilvl w:val="0"/>
          <w:numId w:val="1003"/>
        </w:numPr>
      </w:pPr>
      <w:r>
        <w:rPr>
          <w:rStyle w:val="VerbatimChar"/>
        </w:rPr>
        <w:t xml:space="preserve">contraindicated</w:t>
      </w:r>
    </w:p>
    <w:p>
      <w:pPr>
        <w:pStyle w:val="Compact"/>
        <w:numPr>
          <w:ilvl w:val="0"/>
          <w:numId w:val="1003"/>
        </w:numPr>
      </w:pPr>
      <w:r>
        <w:rPr>
          <w:rStyle w:val="VerbatimChar"/>
        </w:rPr>
        <w:t xml:space="preserve">avoid</w:t>
      </w:r>
    </w:p>
    <w:p>
      <w:pPr>
        <w:pStyle w:val="Compact"/>
        <w:numPr>
          <w:ilvl w:val="0"/>
          <w:numId w:val="1003"/>
        </w:numPr>
      </w:pPr>
      <w:r>
        <w:rPr>
          <w:rStyle w:val="VerbatimChar"/>
        </w:rPr>
        <w:t xml:space="preserve">black_box</w:t>
      </w:r>
    </w:p>
    <w:p>
      <w:pPr>
        <w:pStyle w:val="Compact"/>
        <w:numPr>
          <w:ilvl w:val="0"/>
          <w:numId w:val="1003"/>
        </w:numPr>
      </w:pPr>
      <w:r>
        <w:rPr>
          <w:rStyle w:val="VerbatimChar"/>
        </w:rPr>
        <w:t xml:space="preserve">use_with_caution</w:t>
      </w:r>
    </w:p>
    <w:p>
      <w:pPr>
        <w:pStyle w:val="Compact"/>
        <w:numPr>
          <w:ilvl w:val="0"/>
          <w:numId w:val="1003"/>
        </w:numPr>
      </w:pPr>
      <w:r>
        <w:rPr>
          <w:rStyle w:val="VerbatimChar"/>
        </w:rPr>
        <w:t xml:space="preserve">monitor</w:t>
      </w:r>
    </w:p>
    <w:p>
      <w:pPr>
        <w:pStyle w:val="FirstParagraph"/>
      </w:pPr>
      <w:r>
        <w:t xml:space="preserve">In practice,</w:t>
      </w:r>
      <w:r>
        <w:t xml:space="preserve"> </w:t>
      </w:r>
      <w:r>
        <w:rPr>
          <w:rStyle w:val="VerbatimChar"/>
        </w:rPr>
        <w:t xml:space="preserve">black_box</w:t>
      </w:r>
      <w:r>
        <w:t xml:space="preserve"> </w:t>
      </w:r>
      <w:r>
        <w:t xml:space="preserve">works best as a</w:t>
      </w:r>
      <w:r>
        <w:t xml:space="preserve"> </w:t>
      </w:r>
      <w:r>
        <w:rPr>
          <w:b/>
          <w:bCs/>
        </w:rPr>
        <w:t xml:space="preserve">display and workflow marker</w:t>
      </w:r>
      <w:r>
        <w:t xml:space="preserve"> </w:t>
      </w:r>
      <w:r>
        <w:t xml:space="preserve">that can coexist with another rule, not as the only severity dimension. This allows a rule to say, for example, “boxed warning present, but management depends on age, route, renal function, or concomitant drugs.” That distinction is much easier to defend clinically and technically.</w:t>
      </w:r>
      <w:r>
        <w:t xml:space="preserve"> </w:t>
      </w:r>
      <w:hyperlink r:id="rId43">
        <w:r>
          <w:rPr>
            <w:rStyle w:val="Hyperlink"/>
          </w:rPr>
          <w:t xml:space="preserve">[29]</w:t>
        </w:r>
      </w:hyperlink>
    </w:p>
    <w:bookmarkEnd w:id="45"/>
    <w:bookmarkStart w:id="47" w:name="recommended-er-diagram"/>
    <w:p>
      <w:pPr>
        <w:pStyle w:val="Heading3"/>
      </w:pPr>
      <w:r>
        <w:t xml:space="preserve">Recommended ER diagram</w:t>
      </w:r>
    </w:p>
    <w:p>
      <w:pPr>
        <w:pStyle w:val="SourceCode"/>
      </w:pPr>
      <w:r>
        <w:rPr>
          <w:rStyle w:val="VerbatimChar"/>
        </w:rPr>
        <w:t xml:space="preserve">erDiagram</w:t>
      </w:r>
      <w:r>
        <w:br/>
      </w:r>
      <w:r>
        <w:rPr>
          <w:rStyle w:val="VerbatimChar"/>
        </w:rPr>
        <w:t xml:space="preserve">    SOURCE_SYSTEM ||--o{ LABEL_DOCUMENT : publishes</w:t>
      </w:r>
      <w:r>
        <w:br/>
      </w:r>
      <w:r>
        <w:rPr>
          <w:rStyle w:val="VerbatimChar"/>
        </w:rPr>
        <w:t xml:space="preserve">    SOURCE_SYSTEM ||--o{ EVIDENCE_RECORD : publishes</w:t>
      </w:r>
      <w:r>
        <w:br/>
      </w:r>
      <w:r>
        <w:br/>
      </w:r>
      <w:r>
        <w:rPr>
          <w:rStyle w:val="VerbatimChar"/>
        </w:rPr>
        <w:t xml:space="preserve">    INGREDIENT ||--o{ PRODUCT : has</w:t>
      </w:r>
      <w:r>
        <w:br/>
      </w:r>
      <w:r>
        <w:rPr>
          <w:rStyle w:val="VerbatimChar"/>
        </w:rPr>
        <w:t xml:space="preserve">    INGREDIENT ||--o{ CLASS_MEMBERSHIP : belongs_to</w:t>
      </w:r>
      <w:r>
        <w:br/>
      </w:r>
      <w:r>
        <w:rPr>
          <w:rStyle w:val="VerbatimChar"/>
        </w:rPr>
        <w:t xml:space="preserve">    DRUG_CLASS ||--o{ CLASS_MEMBERSHIP : contains</w:t>
      </w:r>
      <w:r>
        <w:br/>
      </w:r>
      <w:r>
        <w:br/>
      </w:r>
      <w:r>
        <w:rPr>
          <w:rStyle w:val="VerbatimChar"/>
        </w:rPr>
        <w:t xml:space="preserve">    PRODUCT ||--o{ LABEL_DOCUMENT : described_by</w:t>
      </w:r>
      <w:r>
        <w:br/>
      </w:r>
      <w:r>
        <w:br/>
      </w:r>
      <w:r>
        <w:rPr>
          <w:rStyle w:val="VerbatimChar"/>
        </w:rPr>
        <w:t xml:space="preserve">    CONDITION_CONCEPT ||--o{ CONDITION_RISK_RULE : triggers</w:t>
      </w:r>
      <w:r>
        <w:br/>
      </w:r>
      <w:r>
        <w:rPr>
          <w:rStyle w:val="VerbatimChar"/>
        </w:rPr>
        <w:t xml:space="preserve">    INGREDIENT ||--o{ CONDITION_RISK_RULE : affected_by</w:t>
      </w:r>
      <w:r>
        <w:br/>
      </w:r>
      <w:r>
        <w:rPr>
          <w:rStyle w:val="VerbatimChar"/>
        </w:rPr>
        <w:t xml:space="preserve">    PRODUCT ||--o{ CONDITION_RISK_RULE : overrides</w:t>
      </w:r>
      <w:r>
        <w:br/>
      </w:r>
      <w:r>
        <w:rPr>
          <w:rStyle w:val="VerbatimChar"/>
        </w:rPr>
        <w:t xml:space="preserve">    POPULATION_QUALIFIER ||--o{ CONDITION_RISK_RULE : scoped_by</w:t>
      </w:r>
      <w:r>
        <w:br/>
      </w:r>
      <w:r>
        <w:br/>
      </w:r>
      <w:r>
        <w:rPr>
          <w:rStyle w:val="VerbatimChar"/>
        </w:rPr>
        <w:t xml:space="preserve">    INGREDIENT ||--o{ INTERACTION_RULE : involved_in</w:t>
      </w:r>
      <w:r>
        <w:br/>
      </w:r>
      <w:r>
        <w:rPr>
          <w:rStyle w:val="VerbatimChar"/>
        </w:rPr>
        <w:t xml:space="preserve">    PRODUCT ||--o{ INTERACTION_RULE : product_override</w:t>
      </w:r>
      <w:r>
        <w:br/>
      </w:r>
      <w:r>
        <w:rPr>
          <w:rStyle w:val="VerbatimChar"/>
        </w:rPr>
        <w:t xml:space="preserve">    DRUG_CLASS ||--o{ INTERACTION_RULE : class_scope</w:t>
      </w:r>
      <w:r>
        <w:br/>
      </w:r>
      <w:r>
        <w:rPr>
          <w:rStyle w:val="VerbatimChar"/>
        </w:rPr>
        <w:t xml:space="preserve">    POPULATION_QUALIFIER ||--o{ INTERACTION_RULE : scoped_by</w:t>
      </w:r>
      <w:r>
        <w:br/>
      </w:r>
      <w:r>
        <w:br/>
      </w:r>
      <w:r>
        <w:rPr>
          <w:rStyle w:val="VerbatimChar"/>
        </w:rPr>
        <w:t xml:space="preserve">    CONDITION_RISK_RULE ||--o{ EVIDENCE_RECORD : supported_by</w:t>
      </w:r>
      <w:r>
        <w:br/>
      </w:r>
      <w:r>
        <w:rPr>
          <w:rStyle w:val="VerbatimChar"/>
        </w:rPr>
        <w:t xml:space="preserve">    INTERACTION_RULE ||--o{ EVIDENCE_RECORD : supported_by</w:t>
      </w:r>
      <w:r>
        <w:br/>
      </w:r>
      <w:r>
        <w:br/>
      </w:r>
      <w:r>
        <w:rPr>
          <w:rStyle w:val="VerbatimChar"/>
        </w:rPr>
        <w:t xml:space="preserve">    CONDITION_RISK_RULE ||--o{ CHANGE_EVENT : changes</w:t>
      </w:r>
      <w:r>
        <w:br/>
      </w:r>
      <w:r>
        <w:rPr>
          <w:rStyle w:val="VerbatimChar"/>
        </w:rPr>
        <w:t xml:space="preserve">    INTERACTION_RULE ||--o{ CHANGE_EVENT : changes</w:t>
      </w:r>
      <w:r>
        <w:br/>
      </w:r>
      <w:r>
        <w:br/>
      </w:r>
      <w:r>
        <w:rPr>
          <w:rStyle w:val="VerbatimChar"/>
        </w:rPr>
        <w:t xml:space="preserve">    INGREDIENT {</w:t>
      </w:r>
      <w:r>
        <w:br/>
      </w:r>
      <w:r>
        <w:rPr>
          <w:rStyle w:val="VerbatimChar"/>
        </w:rPr>
        <w:t xml:space="preserve">      string ingredient_id</w:t>
      </w:r>
      <w:r>
        <w:br/>
      </w:r>
      <w:r>
        <w:rPr>
          <w:rStyle w:val="VerbatimChar"/>
        </w:rPr>
        <w:t xml:space="preserve">      string preferred_name</w:t>
      </w:r>
      <w:r>
        <w:br/>
      </w:r>
      <w:r>
        <w:rPr>
          <w:rStyle w:val="VerbatimChar"/>
        </w:rPr>
        <w:t xml:space="preserve">      string rxcui</w:t>
      </w:r>
      <w:r>
        <w:br/>
      </w:r>
      <w:r>
        <w:rPr>
          <w:rStyle w:val="VerbatimChar"/>
        </w:rPr>
        <w:t xml:space="preserve">      string unii</w:t>
      </w:r>
      <w:r>
        <w:br/>
      </w:r>
      <w:r>
        <w:rPr>
          <w:rStyle w:val="VerbatimChar"/>
        </w:rPr>
        <w:t xml:space="preserve">    }</w:t>
      </w:r>
      <w:r>
        <w:br/>
      </w:r>
      <w:r>
        <w:br/>
      </w:r>
      <w:r>
        <w:rPr>
          <w:rStyle w:val="VerbatimChar"/>
        </w:rPr>
        <w:t xml:space="preserve">    PRODUCT {</w:t>
      </w:r>
      <w:r>
        <w:br/>
      </w:r>
      <w:r>
        <w:rPr>
          <w:rStyle w:val="VerbatimChar"/>
        </w:rPr>
        <w:t xml:space="preserve">      string product_id</w:t>
      </w:r>
      <w:r>
        <w:br/>
      </w:r>
      <w:r>
        <w:rPr>
          <w:rStyle w:val="VerbatimChar"/>
        </w:rPr>
        <w:t xml:space="preserve">      string brand_name</w:t>
      </w:r>
      <w:r>
        <w:br/>
      </w:r>
      <w:r>
        <w:rPr>
          <w:rStyle w:val="VerbatimChar"/>
        </w:rPr>
        <w:t xml:space="preserve">      string ndc</w:t>
      </w:r>
      <w:r>
        <w:br/>
      </w:r>
      <w:r>
        <w:rPr>
          <w:rStyle w:val="VerbatimChar"/>
        </w:rPr>
        <w:t xml:space="preserve">      string dosage_form</w:t>
      </w:r>
      <w:r>
        <w:br/>
      </w:r>
      <w:r>
        <w:rPr>
          <w:rStyle w:val="VerbatimChar"/>
        </w:rPr>
        <w:t xml:space="preserve">      string route</w:t>
      </w:r>
      <w:r>
        <w:br/>
      </w:r>
      <w:r>
        <w:rPr>
          <w:rStyle w:val="VerbatimChar"/>
        </w:rPr>
        <w:t xml:space="preserve">      string strength</w:t>
      </w:r>
      <w:r>
        <w:br/>
      </w:r>
      <w:r>
        <w:rPr>
          <w:rStyle w:val="VerbatimChar"/>
        </w:rPr>
        <w:t xml:space="preserve">      string marketing_category</w:t>
      </w:r>
      <w:r>
        <w:br/>
      </w:r>
      <w:r>
        <w:rPr>
          <w:rStyle w:val="VerbatimChar"/>
        </w:rPr>
        <w:t xml:space="preserve">    }</w:t>
      </w:r>
      <w:r>
        <w:br/>
      </w:r>
      <w:r>
        <w:br/>
      </w:r>
      <w:r>
        <w:rPr>
          <w:rStyle w:val="VerbatimChar"/>
        </w:rPr>
        <w:t xml:space="preserve">    DRUG_CLASS {</w:t>
      </w:r>
      <w:r>
        <w:br/>
      </w:r>
      <w:r>
        <w:rPr>
          <w:rStyle w:val="VerbatimChar"/>
        </w:rPr>
        <w:t xml:space="preserve">      string class_id</w:t>
      </w:r>
      <w:r>
        <w:br/>
      </w:r>
      <w:r>
        <w:rPr>
          <w:rStyle w:val="VerbatimChar"/>
        </w:rPr>
        <w:t xml:space="preserve">      string class_name</w:t>
      </w:r>
      <w:r>
        <w:br/>
      </w:r>
      <w:r>
        <w:rPr>
          <w:rStyle w:val="VerbatimChar"/>
        </w:rPr>
        <w:t xml:space="preserve">      string class_source</w:t>
      </w:r>
      <w:r>
        <w:br/>
      </w:r>
      <w:r>
        <w:rPr>
          <w:rStyle w:val="VerbatimChar"/>
        </w:rPr>
        <w:t xml:space="preserve">      string atc_code</w:t>
      </w:r>
      <w:r>
        <w:br/>
      </w:r>
      <w:r>
        <w:rPr>
          <w:rStyle w:val="VerbatimChar"/>
        </w:rPr>
        <w:t xml:space="preserve">    }</w:t>
      </w:r>
      <w:r>
        <w:br/>
      </w:r>
      <w:r>
        <w:br/>
      </w:r>
      <w:r>
        <w:rPr>
          <w:rStyle w:val="VerbatimChar"/>
        </w:rPr>
        <w:t xml:space="preserve">    CLASS_MEMBERSHIP {</w:t>
      </w:r>
      <w:r>
        <w:br/>
      </w:r>
      <w:r>
        <w:rPr>
          <w:rStyle w:val="VerbatimChar"/>
        </w:rPr>
        <w:t xml:space="preserve">      string membership_id</w:t>
      </w:r>
      <w:r>
        <w:br/>
      </w:r>
      <w:r>
        <w:rPr>
          <w:rStyle w:val="VerbatimChar"/>
        </w:rPr>
        <w:t xml:space="preserve">      string relation_type</w:t>
      </w:r>
      <w:r>
        <w:br/>
      </w:r>
      <w:r>
        <w:rPr>
          <w:rStyle w:val="VerbatimChar"/>
        </w:rPr>
        <w:t xml:space="preserve">      string source_version</w:t>
      </w:r>
      <w:r>
        <w:br/>
      </w:r>
      <w:r>
        <w:rPr>
          <w:rStyle w:val="VerbatimChar"/>
        </w:rPr>
        <w:t xml:space="preserve">    }</w:t>
      </w:r>
      <w:r>
        <w:br/>
      </w:r>
      <w:r>
        <w:br/>
      </w:r>
      <w:r>
        <w:rPr>
          <w:rStyle w:val="VerbatimChar"/>
        </w:rPr>
        <w:t xml:space="preserve">    LABEL_DOCUMENT {</w:t>
      </w:r>
      <w:r>
        <w:br/>
      </w:r>
      <w:r>
        <w:rPr>
          <w:rStyle w:val="VerbatimChar"/>
        </w:rPr>
        <w:t xml:space="preserve">      string label_id</w:t>
      </w:r>
      <w:r>
        <w:br/>
      </w:r>
      <w:r>
        <w:rPr>
          <w:rStyle w:val="VerbatimChar"/>
        </w:rPr>
        <w:t xml:space="preserve">      string set_id</w:t>
      </w:r>
      <w:r>
        <w:br/>
      </w:r>
      <w:r>
        <w:rPr>
          <w:rStyle w:val="VerbatimChar"/>
        </w:rPr>
        <w:t xml:space="preserve">      string effective_time</w:t>
      </w:r>
      <w:r>
        <w:br/>
      </w:r>
      <w:r>
        <w:rPr>
          <w:rStyle w:val="VerbatimChar"/>
        </w:rPr>
        <w:t xml:space="preserve">      string published_date</w:t>
      </w:r>
      <w:r>
        <w:br/>
      </w:r>
      <w:r>
        <w:rPr>
          <w:rStyle w:val="VerbatimChar"/>
        </w:rPr>
        <w:t xml:space="preserve">      boolean boxed_warning_present</w:t>
      </w:r>
      <w:r>
        <w:br/>
      </w:r>
      <w:r>
        <w:rPr>
          <w:rStyle w:val="VerbatimChar"/>
        </w:rPr>
        <w:t xml:space="preserve">      string source_url</w:t>
      </w:r>
      <w:r>
        <w:br/>
      </w:r>
      <w:r>
        <w:rPr>
          <w:rStyle w:val="VerbatimChar"/>
        </w:rPr>
        <w:t xml:space="preserve">      string text_hash</w:t>
      </w:r>
      <w:r>
        <w:br/>
      </w:r>
      <w:r>
        <w:rPr>
          <w:rStyle w:val="VerbatimChar"/>
        </w:rPr>
        <w:t xml:space="preserve">    }</w:t>
      </w:r>
      <w:r>
        <w:br/>
      </w:r>
      <w:r>
        <w:br/>
      </w:r>
      <w:r>
        <w:rPr>
          <w:rStyle w:val="VerbatimChar"/>
        </w:rPr>
        <w:t xml:space="preserve">    CONDITION_CONCEPT {</w:t>
      </w:r>
      <w:r>
        <w:br/>
      </w:r>
      <w:r>
        <w:rPr>
          <w:rStyle w:val="VerbatimChar"/>
        </w:rPr>
        <w:t xml:space="preserve">      string condition_id</w:t>
      </w:r>
      <w:r>
        <w:br/>
      </w:r>
      <w:r>
        <w:rPr>
          <w:rStyle w:val="VerbatimChar"/>
        </w:rPr>
        <w:t xml:space="preserve">      string code_system</w:t>
      </w:r>
      <w:r>
        <w:br/>
      </w:r>
      <w:r>
        <w:rPr>
          <w:rStyle w:val="VerbatimChar"/>
        </w:rPr>
        <w:t xml:space="preserve">      string code</w:t>
      </w:r>
      <w:r>
        <w:br/>
      </w:r>
      <w:r>
        <w:rPr>
          <w:rStyle w:val="VerbatimChar"/>
        </w:rPr>
        <w:t xml:space="preserve">      string display</w:t>
      </w:r>
      <w:r>
        <w:br/>
      </w:r>
      <w:r>
        <w:rPr>
          <w:rStyle w:val="VerbatimChar"/>
        </w:rPr>
        <w:t xml:space="preserve">    }</w:t>
      </w:r>
      <w:r>
        <w:br/>
      </w:r>
      <w:r>
        <w:br/>
      </w:r>
      <w:r>
        <w:rPr>
          <w:rStyle w:val="VerbatimChar"/>
        </w:rPr>
        <w:t xml:space="preserve">    POPULATION_QUALIFIER {</w:t>
      </w:r>
      <w:r>
        <w:br/>
      </w:r>
      <w:r>
        <w:rPr>
          <w:rStyle w:val="VerbatimChar"/>
        </w:rPr>
        <w:t xml:space="preserve">      string qualifier_id</w:t>
      </w:r>
      <w:r>
        <w:br/>
      </w:r>
      <w:r>
        <w:rPr>
          <w:rStyle w:val="VerbatimChar"/>
        </w:rPr>
        <w:t xml:space="preserve">      string qualifier_type</w:t>
      </w:r>
      <w:r>
        <w:br/>
      </w:r>
      <w:r>
        <w:rPr>
          <w:rStyle w:val="VerbatimChar"/>
        </w:rPr>
        <w:t xml:space="preserve">      string qualifier_value</w:t>
      </w:r>
      <w:r>
        <w:br/>
      </w:r>
      <w:r>
        <w:rPr>
          <w:rStyle w:val="VerbatimChar"/>
        </w:rPr>
        <w:t xml:space="preserve">    }</w:t>
      </w:r>
      <w:r>
        <w:br/>
      </w:r>
      <w:r>
        <w:br/>
      </w:r>
      <w:r>
        <w:rPr>
          <w:rStyle w:val="VerbatimChar"/>
        </w:rPr>
        <w:t xml:space="preserve">    CONDITION_RISK_RULE {</w:t>
      </w:r>
      <w:r>
        <w:br/>
      </w:r>
      <w:r>
        <w:rPr>
          <w:rStyle w:val="VerbatimChar"/>
        </w:rPr>
        <w:t xml:space="preserve">      string rule_id</w:t>
      </w:r>
      <w:r>
        <w:br/>
      </w:r>
      <w:r>
        <w:rPr>
          <w:rStyle w:val="VerbatimChar"/>
        </w:rPr>
        <w:t xml:space="preserve">      string severity_category</w:t>
      </w:r>
      <w:r>
        <w:br/>
      </w:r>
      <w:r>
        <w:rPr>
          <w:rStyle w:val="VerbatimChar"/>
        </w:rPr>
        <w:t xml:space="preserve">      boolean boxed_warning</w:t>
      </w:r>
      <w:r>
        <w:br/>
      </w:r>
      <w:r>
        <w:rPr>
          <w:rStyle w:val="VerbatimChar"/>
        </w:rPr>
        <w:t xml:space="preserve">      string rule_logic</w:t>
      </w:r>
      <w:r>
        <w:br/>
      </w:r>
      <w:r>
        <w:rPr>
          <w:rStyle w:val="VerbatimChar"/>
        </w:rPr>
        <w:t xml:space="preserve">      string monitoring_parameter</w:t>
      </w:r>
      <w:r>
        <w:br/>
      </w:r>
      <w:r>
        <w:rPr>
          <w:rStyle w:val="VerbatimChar"/>
        </w:rPr>
        <w:t xml:space="preserve">      string review_status</w:t>
      </w:r>
      <w:r>
        <w:br/>
      </w:r>
      <w:r>
        <w:rPr>
          <w:rStyle w:val="VerbatimChar"/>
        </w:rPr>
        <w:t xml:space="preserve">    }</w:t>
      </w:r>
      <w:r>
        <w:br/>
      </w:r>
      <w:r>
        <w:br/>
      </w:r>
      <w:r>
        <w:rPr>
          <w:rStyle w:val="VerbatimChar"/>
        </w:rPr>
        <w:t xml:space="preserve">    INTERACTION_RULE {</w:t>
      </w:r>
      <w:r>
        <w:br/>
      </w:r>
      <w:r>
        <w:rPr>
          <w:rStyle w:val="VerbatimChar"/>
        </w:rPr>
        <w:t xml:space="preserve">      string interaction_rule_id</w:t>
      </w:r>
      <w:r>
        <w:br/>
      </w:r>
      <w:r>
        <w:rPr>
          <w:rStyle w:val="VerbatimChar"/>
        </w:rPr>
        <w:t xml:space="preserve">      string severity_category</w:t>
      </w:r>
      <w:r>
        <w:br/>
      </w:r>
      <w:r>
        <w:rPr>
          <w:rStyle w:val="VerbatimChar"/>
        </w:rPr>
        <w:t xml:space="preserve">      string interaction_mechanism</w:t>
      </w:r>
      <w:r>
        <w:br/>
      </w:r>
      <w:r>
        <w:rPr>
          <w:rStyle w:val="VerbatimChar"/>
        </w:rPr>
        <w:t xml:space="preserve">      string management_recommendation</w:t>
      </w:r>
      <w:r>
        <w:br/>
      </w:r>
      <w:r>
        <w:rPr>
          <w:rStyle w:val="VerbatimChar"/>
        </w:rPr>
        <w:t xml:space="preserve">      string review_status</w:t>
      </w:r>
      <w:r>
        <w:br/>
      </w:r>
      <w:r>
        <w:rPr>
          <w:rStyle w:val="VerbatimChar"/>
        </w:rPr>
        <w:t xml:space="preserve">    }</w:t>
      </w:r>
      <w:r>
        <w:br/>
      </w:r>
      <w:r>
        <w:br/>
      </w:r>
      <w:r>
        <w:rPr>
          <w:rStyle w:val="VerbatimChar"/>
        </w:rPr>
        <w:t xml:space="preserve">    EVIDENCE_RECORD {</w:t>
      </w:r>
      <w:r>
        <w:br/>
      </w:r>
      <w:r>
        <w:rPr>
          <w:rStyle w:val="VerbatimChar"/>
        </w:rPr>
        <w:t xml:space="preserve">      string evidence_id</w:t>
      </w:r>
      <w:r>
        <w:br/>
      </w:r>
      <w:r>
        <w:rPr>
          <w:rStyle w:val="VerbatimChar"/>
        </w:rPr>
        <w:t xml:space="preserve">      string source_type</w:t>
      </w:r>
      <w:r>
        <w:br/>
      </w:r>
      <w:r>
        <w:rPr>
          <w:rStyle w:val="VerbatimChar"/>
        </w:rPr>
        <w:t xml:space="preserve">      string evidence_level</w:t>
      </w:r>
      <w:r>
        <w:br/>
      </w:r>
      <w:r>
        <w:rPr>
          <w:rStyle w:val="VerbatimChar"/>
        </w:rPr>
        <w:t xml:space="preserve">      string source_url</w:t>
      </w:r>
      <w:r>
        <w:br/>
      </w:r>
      <w:r>
        <w:rPr>
          <w:rStyle w:val="VerbatimChar"/>
        </w:rPr>
        <w:t xml:space="preserve">      string excerpt_hash</w:t>
      </w:r>
      <w:r>
        <w:br/>
      </w:r>
      <w:r>
        <w:rPr>
          <w:rStyle w:val="VerbatimChar"/>
        </w:rPr>
        <w:t xml:space="preserve">      string last_checked_at</w:t>
      </w:r>
      <w:r>
        <w:br/>
      </w:r>
      <w:r>
        <w:rPr>
          <w:rStyle w:val="VerbatimChar"/>
        </w:rPr>
        <w:t xml:space="preserve">    }</w:t>
      </w:r>
      <w:r>
        <w:br/>
      </w:r>
      <w:r>
        <w:br/>
      </w:r>
      <w:r>
        <w:rPr>
          <w:rStyle w:val="VerbatimChar"/>
        </w:rPr>
        <w:t xml:space="preserve">    CHANGE_EVENT {</w:t>
      </w:r>
      <w:r>
        <w:br/>
      </w:r>
      <w:r>
        <w:rPr>
          <w:rStyle w:val="VerbatimChar"/>
        </w:rPr>
        <w:t xml:space="preserve">      string change_id</w:t>
      </w:r>
      <w:r>
        <w:br/>
      </w:r>
      <w:r>
        <w:rPr>
          <w:rStyle w:val="VerbatimChar"/>
        </w:rPr>
        <w:t xml:space="preserve">      string changed_at</w:t>
      </w:r>
      <w:r>
        <w:br/>
      </w:r>
      <w:r>
        <w:rPr>
          <w:rStyle w:val="VerbatimChar"/>
        </w:rPr>
        <w:t xml:space="preserve">      string change_type</w:t>
      </w:r>
      <w:r>
        <w:br/>
      </w:r>
      <w:r>
        <w:rPr>
          <w:rStyle w:val="VerbatimChar"/>
        </w:rPr>
        <w:t xml:space="preserve">      string old_hash</w:t>
      </w:r>
      <w:r>
        <w:br/>
      </w:r>
      <w:r>
        <w:rPr>
          <w:rStyle w:val="VerbatimChar"/>
        </w:rPr>
        <w:t xml:space="preserve">      string new_hash</w:t>
      </w:r>
      <w:r>
        <w:br/>
      </w:r>
      <w:r>
        <w:rPr>
          <w:rStyle w:val="VerbatimChar"/>
        </w:rPr>
        <w:t xml:space="preserve">    }</w:t>
      </w:r>
      <w:r>
        <w:br/>
      </w:r>
      <w:r>
        <w:br/>
      </w:r>
      <w:r>
        <w:rPr>
          <w:rStyle w:val="VerbatimChar"/>
        </w:rPr>
        <w:t xml:space="preserve">    SOURCE_SYSTEM {</w:t>
      </w:r>
      <w:r>
        <w:br/>
      </w:r>
      <w:r>
        <w:rPr>
          <w:rStyle w:val="VerbatimChar"/>
        </w:rPr>
        <w:t xml:space="preserve">      string source_id</w:t>
      </w:r>
      <w:r>
        <w:br/>
      </w:r>
      <w:r>
        <w:rPr>
          <w:rStyle w:val="VerbatimChar"/>
        </w:rPr>
        <w:t xml:space="preserve">      string name</w:t>
      </w:r>
      <w:r>
        <w:br/>
      </w:r>
      <w:r>
        <w:rPr>
          <w:rStyle w:val="VerbatimChar"/>
        </w:rPr>
        <w:t xml:space="preserve">      string license_note</w:t>
      </w:r>
      <w:r>
        <w:br/>
      </w:r>
      <w:r>
        <w:rPr>
          <w:rStyle w:val="VerbatimChar"/>
        </w:rPr>
        <w:t xml:space="preserve">      string update_cadence</w:t>
      </w:r>
      <w:r>
        <w:br/>
      </w:r>
      <w:r>
        <w:rPr>
          <w:rStyle w:val="VerbatimChar"/>
        </w:rPr>
        <w:t xml:space="preserve">    }</w:t>
      </w:r>
    </w:p>
    <w:p>
      <w:pPr>
        <w:pStyle w:val="FirstParagraph"/>
      </w:pPr>
      <w:r>
        <w:t xml:space="preserve">This model also cleanly separates the</w:t>
      </w:r>
      <w:r>
        <w:t xml:space="preserve"> </w:t>
      </w:r>
      <w:r>
        <w:rPr>
          <w:b/>
          <w:bCs/>
        </w:rPr>
        <w:t xml:space="preserve">knowledge base</w:t>
      </w:r>
      <w:r>
        <w:t xml:space="preserve"> </w:t>
      </w:r>
      <w:r>
        <w:t xml:space="preserve">from the</w:t>
      </w:r>
      <w:r>
        <w:t xml:space="preserve"> </w:t>
      </w:r>
      <w:r>
        <w:rPr>
          <w:b/>
          <w:bCs/>
        </w:rPr>
        <w:t xml:space="preserve">runtime patient profile</w:t>
      </w:r>
      <w:r>
        <w:t xml:space="preserve">. The patient profile should remain small and transient: normalized conditions, current medications, demographic qualifiers, and a few lab- or stage-derived flags such as renal impairment or pregnancy status. That separation lowers PHI exposure while keeping the rules reusable across many patients. The distinction is especially helpful because openFDA itself contains only public FDA data and explicitly states that it does not contain patient-identifiable or other sensitive information; PHI only enters the system at your application boundary.</w:t>
      </w:r>
      <w:r>
        <w:t xml:space="preserve"> </w:t>
      </w:r>
      <w:hyperlink r:id="rId46">
        <w:r>
          <w:rPr>
            <w:rStyle w:val="Hyperlink"/>
          </w:rPr>
          <w:t xml:space="preserve">[30]</w:t>
        </w:r>
      </w:hyperlink>
    </w:p>
    <w:bookmarkEnd w:id="47"/>
    <w:bookmarkEnd w:id="48"/>
    <w:bookmarkStart w:id="55" w:name="etl-validation-and-change-management"/>
    <w:p>
      <w:pPr>
        <w:pStyle w:val="Heading2"/>
      </w:pPr>
      <w:r>
        <w:t xml:space="preserve">ETL, validation, and change management</w:t>
      </w:r>
    </w:p>
    <w:p>
      <w:pPr>
        <w:pStyle w:val="FirstParagraph"/>
      </w:pPr>
      <w:r>
        <w:t xml:space="preserve">The ETL pattern should be</w:t>
      </w:r>
      <w:r>
        <w:t xml:space="preserve"> </w:t>
      </w:r>
      <w:r>
        <w:rPr>
          <w:b/>
          <w:bCs/>
        </w:rPr>
        <w:t xml:space="preserve">incremental, multi-source, and deterministic</w:t>
      </w:r>
      <w:r>
        <w:t xml:space="preserve">. Public sources differ too much in structure and cadence to support live fan-out queries from your end-user API. DailyMed exposes bulk release files and published-date filters; openFDA supports query APIs, downloads, and large-result strategies; RxNav recommends caching and offers a local installable version; WHO ICD documents local deployment paths. That strongly favors a scheduled ETL plus normalized store.</w:t>
      </w:r>
      <w:r>
        <w:t xml:space="preserve"> </w:t>
      </w:r>
      <w:hyperlink r:id="rId49">
        <w:r>
          <w:rPr>
            <w:rStyle w:val="Hyperlink"/>
          </w:rPr>
          <w:t xml:space="preserve">[31]</w:t>
        </w:r>
      </w:hyperlink>
    </w:p>
    <w:bookmarkStart w:id="50" w:name="recommended-etl-flow"/>
    <w:p>
      <w:pPr>
        <w:pStyle w:val="Heading3"/>
      </w:pPr>
      <w:r>
        <w:t xml:space="preserve">Recommended ETL flow</w:t>
      </w:r>
    </w:p>
    <w:p>
      <w:pPr>
        <w:pStyle w:val="SourceCode"/>
      </w:pPr>
      <w:r>
        <w:rPr>
          <w:rStyle w:val="VerbatimChar"/>
        </w:rPr>
        <w:t xml:space="preserve">flowchart LR</w:t>
      </w:r>
      <w:r>
        <w:br/>
      </w:r>
      <w:r>
        <w:rPr>
          <w:rStyle w:val="VerbatimChar"/>
        </w:rPr>
        <w:t xml:space="preserve">    A[DailyMed SPL API and bulk files] --&gt; G[Raw snapshot store]</w:t>
      </w:r>
      <w:r>
        <w:br/>
      </w:r>
      <w:r>
        <w:rPr>
          <w:rStyle w:val="VerbatimChar"/>
        </w:rPr>
        <w:t xml:space="preserve">    B[openFDA label ndc drugsfda event] --&gt; G</w:t>
      </w:r>
      <w:r>
        <w:br/>
      </w:r>
      <w:r>
        <w:rPr>
          <w:rStyle w:val="VerbatimChar"/>
        </w:rPr>
        <w:t xml:space="preserve">    C[RxNorm and RxClass] --&gt; G</w:t>
      </w:r>
      <w:r>
        <w:br/>
      </w:r>
      <w:r>
        <w:rPr>
          <w:rStyle w:val="VerbatimChar"/>
        </w:rPr>
        <w:t xml:space="preserve">    D[ICD-11 and optional SNOMED CT] --&gt; G</w:t>
      </w:r>
      <w:r>
        <w:br/>
      </w:r>
      <w:r>
        <w:rPr>
          <w:rStyle w:val="VerbatimChar"/>
        </w:rPr>
        <w:t xml:space="preserve">    E[EMA JSON and ePI, NHS, WHO] --&gt; G</w:t>
      </w:r>
      <w:r>
        <w:br/>
      </w:r>
      <w:r>
        <w:rPr>
          <w:rStyle w:val="VerbatimChar"/>
        </w:rPr>
        <w:t xml:space="preserve">    F[PubMed PMC and guideline feeds] --&gt; G</w:t>
      </w:r>
      <w:r>
        <w:br/>
      </w:r>
      <w:r>
        <w:br/>
      </w:r>
      <w:r>
        <w:rPr>
          <w:rStyle w:val="VerbatimChar"/>
        </w:rPr>
        <w:t xml:space="preserve">    G --&gt; H[Parser and normalizer]</w:t>
      </w:r>
      <w:r>
        <w:br/>
      </w:r>
      <w:r>
        <w:rPr>
          <w:rStyle w:val="VerbatimChar"/>
        </w:rPr>
        <w:t xml:space="preserve">    H --&gt; I[Drug identity resolution]</w:t>
      </w:r>
      <w:r>
        <w:br/>
      </w:r>
      <w:r>
        <w:rPr>
          <w:rStyle w:val="VerbatimChar"/>
        </w:rPr>
        <w:t xml:space="preserve">    H --&gt; J[Condition normalization]</w:t>
      </w:r>
      <w:r>
        <w:br/>
      </w:r>
      <w:r>
        <w:rPr>
          <w:rStyle w:val="VerbatimChar"/>
        </w:rPr>
        <w:t xml:space="preserve">    I --&gt; K[Rule builder]</w:t>
      </w:r>
      <w:r>
        <w:br/>
      </w:r>
      <w:r>
        <w:rPr>
          <w:rStyle w:val="VerbatimChar"/>
        </w:rPr>
        <w:t xml:space="preserve">    J --&gt; K</w:t>
      </w:r>
      <w:r>
        <w:br/>
      </w:r>
      <w:r>
        <w:br/>
      </w:r>
      <w:r>
        <w:rPr>
          <w:rStyle w:val="VerbatimChar"/>
        </w:rPr>
        <w:t xml:space="preserve">    K --&gt; L[Deduplication and precedence engine]</w:t>
      </w:r>
      <w:r>
        <w:br/>
      </w:r>
      <w:r>
        <w:rPr>
          <w:rStyle w:val="VerbatimChar"/>
        </w:rPr>
        <w:t xml:space="preserve">    L --&gt; M[Validation and QA]</w:t>
      </w:r>
      <w:r>
        <w:br/>
      </w:r>
      <w:r>
        <w:rPr>
          <w:rStyle w:val="VerbatimChar"/>
        </w:rPr>
        <w:t xml:space="preserve">    M --&gt; N[Versioned knowledge store]</w:t>
      </w:r>
      <w:r>
        <w:br/>
      </w:r>
      <w:r>
        <w:rPr>
          <w:rStyle w:val="VerbatimChar"/>
        </w:rPr>
        <w:t xml:space="preserve">    M --&gt; O[Change events and alert queue]</w:t>
      </w:r>
    </w:p>
    <w:bookmarkEnd w:id="50"/>
    <w:bookmarkStart w:id="51" w:name="fetch-and-normalization-rules"/>
    <w:p>
      <w:pPr>
        <w:pStyle w:val="Heading3"/>
      </w:pPr>
      <w:r>
        <w:t xml:space="preserve">Fetch and normalization rules</w:t>
      </w:r>
    </w:p>
    <w:p>
      <w:pPr>
        <w:pStyle w:val="FirstParagraph"/>
      </w:pPr>
      <w:r>
        <w:t xml:space="preserve">The most reliable normalization sequence is:</w:t>
      </w:r>
    </w:p>
    <w:p>
      <w:pPr>
        <w:pStyle w:val="Compact"/>
        <w:numPr>
          <w:ilvl w:val="0"/>
          <w:numId w:val="1004"/>
        </w:numPr>
      </w:pPr>
      <w:r>
        <w:rPr>
          <w:b/>
          <w:bCs/>
        </w:rPr>
        <w:t xml:space="preserve">Medication identity first.</w:t>
      </w:r>
      <w:r>
        <w:t xml:space="preserve"> </w:t>
      </w:r>
      <w:r>
        <w:t xml:space="preserve">Resolve free text, NDC, or label-specific identifiers to RxCUI, then roll up to ingredient and related branded/generic products. RxNorm explicitly supports current and historical concepts, NDC relationships, and branded/unbranded mappings.</w:t>
      </w:r>
      <w:r>
        <w:t xml:space="preserve"> </w:t>
      </w:r>
      <w:hyperlink r:id="rId30">
        <w:r>
          <w:rPr>
            <w:rStyle w:val="Hyperlink"/>
          </w:rPr>
          <w:t xml:space="preserve">[32]</w:t>
        </w:r>
      </w:hyperlink>
    </w:p>
    <w:p>
      <w:pPr>
        <w:pStyle w:val="Compact"/>
        <w:numPr>
          <w:ilvl w:val="0"/>
          <w:numId w:val="1004"/>
        </w:numPr>
      </w:pPr>
      <w:r>
        <w:rPr>
          <w:b/>
          <w:bCs/>
        </w:rPr>
        <w:t xml:space="preserve">Class expansion second.</w:t>
      </w:r>
      <w:r>
        <w:t xml:space="preserve"> </w:t>
      </w:r>
      <w:r>
        <w:t xml:space="preserve">Use RxClass and, where needed, ATC to map class-based warnings and class-based interaction statements. RxClass provides multiple class sources and class-membership retrieval functions. WHO ATC/DDD additionally supports internationally stable class coding.</w:t>
      </w:r>
      <w:r>
        <w:t xml:space="preserve"> </w:t>
      </w:r>
      <w:hyperlink r:id="rId31">
        <w:r>
          <w:rPr>
            <w:rStyle w:val="Hyperlink"/>
          </w:rPr>
          <w:t xml:space="preserve">[33]</w:t>
        </w:r>
      </w:hyperlink>
    </w:p>
    <w:p>
      <w:pPr>
        <w:pStyle w:val="Compact"/>
        <w:numPr>
          <w:ilvl w:val="0"/>
          <w:numId w:val="1004"/>
        </w:numPr>
      </w:pPr>
      <w:r>
        <w:rPr>
          <w:b/>
          <w:bCs/>
        </w:rPr>
        <w:t xml:space="preserve">Condition normalization third.</w:t>
      </w:r>
      <w:r>
        <w:t xml:space="preserve"> </w:t>
      </w:r>
      <w:r>
        <w:t xml:space="preserve">Normalize comorbidities to one canonical internal concept model. ICD-11 is the simplest public global API; SNOMED CT can be layered in where licensing permits and richer clinical encoding is needed.</w:t>
      </w:r>
      <w:r>
        <w:t xml:space="preserve"> </w:t>
      </w:r>
      <w:hyperlink r:id="rId36">
        <w:r>
          <w:rPr>
            <w:rStyle w:val="Hyperlink"/>
          </w:rPr>
          <w:t xml:space="preserve">[34]</w:t>
        </w:r>
      </w:hyperlink>
    </w:p>
    <w:p>
      <w:pPr>
        <w:pStyle w:val="Compact"/>
        <w:numPr>
          <w:ilvl w:val="0"/>
          <w:numId w:val="1004"/>
        </w:numPr>
      </w:pPr>
      <w:r>
        <w:rPr>
          <w:b/>
          <w:bCs/>
        </w:rPr>
        <w:t xml:space="preserve">Rule extraction fourth.</w:t>
      </w:r>
      <w:r>
        <w:t xml:space="preserve"> </w:t>
      </w:r>
      <w:r>
        <w:t xml:space="preserve">Build candidate rules from label sections, regulatory notices, guideline statements, and literature. Preserve the exact source span, label version, or document update date. openFDA and DailyMed expose the label sections you need; EMA JSON also exposes structured timestamps and URLs.</w:t>
      </w:r>
      <w:r>
        <w:t xml:space="preserve"> </w:t>
      </w:r>
      <w:hyperlink r:id="rId43">
        <w:r>
          <w:rPr>
            <w:rStyle w:val="Hyperlink"/>
          </w:rPr>
          <w:t xml:space="preserve">[27]</w:t>
        </w:r>
      </w:hyperlink>
    </w:p>
    <w:p>
      <w:pPr>
        <w:pStyle w:val="FirstParagraph"/>
      </w:pPr>
      <w:r>
        <w:t xml:space="preserve">The most important deduplication keys are:</w:t>
      </w:r>
    </w:p>
    <w:p>
      <w:pPr>
        <w:pStyle w:val="Compact"/>
        <w:numPr>
          <w:ilvl w:val="0"/>
          <w:numId w:val="1005"/>
        </w:numPr>
      </w:pPr>
      <w:r>
        <w:rPr>
          <w:b/>
          <w:bCs/>
        </w:rPr>
        <w:t xml:space="preserve">Ingredient/product identity:</w:t>
      </w:r>
      <w:r>
        <w:t xml:space="preserve"> </w:t>
      </w:r>
      <w:r>
        <w:rPr>
          <w:rStyle w:val="VerbatimChar"/>
        </w:rPr>
        <w:t xml:space="preserve">rxcui</w:t>
      </w:r>
      <w:r>
        <w:t xml:space="preserve">,</w:t>
      </w:r>
      <w:r>
        <w:t xml:space="preserve"> </w:t>
      </w:r>
      <w:r>
        <w:rPr>
          <w:rStyle w:val="VerbatimChar"/>
        </w:rPr>
        <w:t xml:space="preserve">ndc</w:t>
      </w:r>
      <w:r>
        <w:t xml:space="preserve">,</w:t>
      </w:r>
      <w:r>
        <w:t xml:space="preserve"> </w:t>
      </w:r>
      <w:r>
        <w:rPr>
          <w:rStyle w:val="VerbatimChar"/>
        </w:rPr>
        <w:t xml:space="preserve">set_id</w:t>
      </w:r>
      <w:r>
        <w:t xml:space="preserve">, and generic-brand relationships.</w:t>
      </w:r>
    </w:p>
    <w:p>
      <w:pPr>
        <w:pStyle w:val="Compact"/>
        <w:numPr>
          <w:ilvl w:val="0"/>
          <w:numId w:val="1005"/>
        </w:numPr>
      </w:pPr>
      <w:r>
        <w:rPr>
          <w:b/>
          <w:bCs/>
        </w:rPr>
        <w:t xml:space="preserve">Label version identity:</w:t>
      </w:r>
      <w:r>
        <w:t xml:space="preserve"> </w:t>
      </w:r>
      <w:r>
        <w:rPr>
          <w:rStyle w:val="VerbatimChar"/>
        </w:rPr>
        <w:t xml:space="preserve">set_id + effective_time</w:t>
      </w:r>
      <w:r>
        <w:t xml:space="preserve"> </w:t>
      </w:r>
      <w:r>
        <w:t xml:space="preserve">for openFDA, or</w:t>
      </w:r>
      <w:r>
        <w:t xml:space="preserve"> </w:t>
      </w:r>
      <w:r>
        <w:rPr>
          <w:rStyle w:val="VerbatimChar"/>
        </w:rPr>
        <w:t xml:space="preserve">setid + spl_version + published_date</w:t>
      </w:r>
      <w:r>
        <w:t xml:space="preserve"> </w:t>
      </w:r>
      <w:r>
        <w:t xml:space="preserve">for DailyMed.</w:t>
      </w:r>
    </w:p>
    <w:p>
      <w:pPr>
        <w:pStyle w:val="Compact"/>
        <w:numPr>
          <w:ilvl w:val="0"/>
          <w:numId w:val="1005"/>
        </w:numPr>
      </w:pPr>
      <w:r>
        <w:rPr>
          <w:b/>
          <w:bCs/>
        </w:rPr>
        <w:t xml:space="preserve">Class identity:</w:t>
      </w:r>
      <w:r>
        <w:t xml:space="preserve"> </w:t>
      </w:r>
      <w:r>
        <w:rPr>
          <w:rStyle w:val="VerbatimChar"/>
        </w:rPr>
        <w:t xml:space="preserve">class_source + class_id + relation_type</w:t>
      </w:r>
      <w:r>
        <w:t xml:space="preserve">.</w:t>
      </w:r>
    </w:p>
    <w:p>
      <w:pPr>
        <w:pStyle w:val="Compact"/>
        <w:numPr>
          <w:ilvl w:val="0"/>
          <w:numId w:val="1005"/>
        </w:numPr>
      </w:pPr>
      <w:r>
        <w:rPr>
          <w:b/>
          <w:bCs/>
        </w:rPr>
        <w:t xml:space="preserve">Condition rule identity:</w:t>
      </w:r>
      <w:r>
        <w:t xml:space="preserve"> </w:t>
      </w:r>
      <w:r>
        <w:t xml:space="preserve">normalized condition concept + drug scope + qualifier scope + severity + evidence source.</w:t>
      </w:r>
      <w:r>
        <w:t xml:space="preserve"> </w:t>
      </w:r>
      <w:hyperlink r:id="rId49">
        <w:r>
          <w:rPr>
            <w:rStyle w:val="Hyperlink"/>
          </w:rPr>
          <w:t xml:space="preserve">[35]</w:t>
        </w:r>
      </w:hyperlink>
    </w:p>
    <w:bookmarkEnd w:id="51"/>
    <w:bookmarkStart w:id="52" w:name="mapping-and-precedence-rules"/>
    <w:p>
      <w:pPr>
        <w:pStyle w:val="Heading3"/>
      </w:pPr>
      <w:r>
        <w:t xml:space="preserve">Mapping and precedence rules</w:t>
      </w:r>
    </w:p>
    <w:p>
      <w:pPr>
        <w:pStyle w:val="FirstParagraph"/>
      </w:pPr>
      <w:r>
        <w:t xml:space="preserve">Not all evidence should be treated equally. A rigorous precedence order is:</w:t>
      </w:r>
    </w:p>
    <w:p>
      <w:pPr>
        <w:pStyle w:val="Compact"/>
        <w:numPr>
          <w:ilvl w:val="0"/>
          <w:numId w:val="1006"/>
        </w:numPr>
      </w:pPr>
      <w:r>
        <w:rPr>
          <w:b/>
          <w:bCs/>
        </w:rPr>
        <w:t xml:space="preserve">Product-label contraindication</w:t>
      </w:r>
    </w:p>
    <w:p>
      <w:pPr>
        <w:pStyle w:val="Compact"/>
        <w:numPr>
          <w:ilvl w:val="0"/>
          <w:numId w:val="1006"/>
        </w:numPr>
      </w:pPr>
      <w:r>
        <w:rPr>
          <w:b/>
          <w:bCs/>
        </w:rPr>
        <w:t xml:space="preserve">Product-label boxed warning</w:t>
      </w:r>
    </w:p>
    <w:p>
      <w:pPr>
        <w:pStyle w:val="Compact"/>
        <w:numPr>
          <w:ilvl w:val="0"/>
          <w:numId w:val="1006"/>
        </w:numPr>
      </w:pPr>
      <w:r>
        <w:rPr>
          <w:b/>
          <w:bCs/>
        </w:rPr>
        <w:t xml:space="preserve">Product-label warnings/precautions or drug-interactions section</w:t>
      </w:r>
    </w:p>
    <w:p>
      <w:pPr>
        <w:pStyle w:val="Compact"/>
        <w:numPr>
          <w:ilvl w:val="0"/>
          <w:numId w:val="1006"/>
        </w:numPr>
      </w:pPr>
      <w:r>
        <w:rPr>
          <w:b/>
          <w:bCs/>
        </w:rPr>
        <w:t xml:space="preserve">Official regulatory communications or public assessment documents</w:t>
      </w:r>
    </w:p>
    <w:p>
      <w:pPr>
        <w:pStyle w:val="Compact"/>
        <w:numPr>
          <w:ilvl w:val="0"/>
          <w:numId w:val="1006"/>
        </w:numPr>
      </w:pPr>
      <w:r>
        <w:rPr>
          <w:b/>
          <w:bCs/>
        </w:rPr>
        <w:t xml:space="preserve">Official guideline recommendation</w:t>
      </w:r>
    </w:p>
    <w:p>
      <w:pPr>
        <w:pStyle w:val="Compact"/>
        <w:numPr>
          <w:ilvl w:val="0"/>
          <w:numId w:val="1006"/>
        </w:numPr>
      </w:pPr>
      <w:r>
        <w:rPr>
          <w:b/>
          <w:bCs/>
        </w:rPr>
        <w:t xml:space="preserve">Peer-reviewed synthesis or high-quality review</w:t>
      </w:r>
    </w:p>
    <w:p>
      <w:pPr>
        <w:pStyle w:val="Compact"/>
        <w:numPr>
          <w:ilvl w:val="0"/>
          <w:numId w:val="1006"/>
        </w:numPr>
      </w:pPr>
      <w:r>
        <w:rPr>
          <w:b/>
          <w:bCs/>
        </w:rPr>
        <w:t xml:space="preserve">Case series, case reports, or adverse-event signal alone</w:t>
      </w:r>
    </w:p>
    <w:p>
      <w:pPr>
        <w:pStyle w:val="FirstParagraph"/>
      </w:pPr>
      <w:r>
        <w:t xml:space="preserve">That ranking is consistent with the public-source ecosystem: DailyMed/openFDA/EMA product information are the primary labeled sources; guideline APIs such as NICE are secondary; PubMed and PMC are evidence-discovery layers; and FAERS/openFDA events are signal layers with lag and non-validation caveats.</w:t>
      </w:r>
      <w:r>
        <w:t xml:space="preserve"> </w:t>
      </w:r>
      <w:hyperlink r:id="rId21">
        <w:r>
          <w:rPr>
            <w:rStyle w:val="Hyperlink"/>
          </w:rPr>
          <w:t xml:space="preserve">[36]</w:t>
        </w:r>
      </w:hyperlink>
    </w:p>
    <w:p>
      <w:pPr>
        <w:pStyle w:val="BodyText"/>
      </w:pPr>
      <w:r>
        <w:t xml:space="preserve">For pairwise interactions, public sources require special care. Since the public RxNav interaction API has been discontinued, your system should distinguish among:</w:t>
      </w:r>
    </w:p>
    <w:p>
      <w:pPr>
        <w:pStyle w:val="Compact"/>
        <w:numPr>
          <w:ilvl w:val="0"/>
          <w:numId w:val="1007"/>
        </w:numPr>
      </w:pPr>
      <w:r>
        <w:rPr>
          <w:b/>
          <w:bCs/>
        </w:rPr>
        <w:t xml:space="preserve">Labeled named interactions</w:t>
      </w:r>
      <w:r>
        <w:t xml:space="preserve">, extracted from product labels.</w:t>
      </w:r>
    </w:p>
    <w:p>
      <w:pPr>
        <w:pStyle w:val="Compact"/>
        <w:numPr>
          <w:ilvl w:val="0"/>
          <w:numId w:val="1007"/>
        </w:numPr>
      </w:pPr>
      <w:r>
        <w:rPr>
          <w:b/>
          <w:bCs/>
        </w:rPr>
        <w:t xml:space="preserve">Labeled class interactions</w:t>
      </w:r>
      <w:r>
        <w:t xml:space="preserve">, inferred through RxClass or ATC expansion.</w:t>
      </w:r>
    </w:p>
    <w:p>
      <w:pPr>
        <w:pStyle w:val="Compact"/>
        <w:numPr>
          <w:ilvl w:val="0"/>
          <w:numId w:val="1007"/>
        </w:numPr>
      </w:pPr>
      <w:r>
        <w:rPr>
          <w:b/>
          <w:bCs/>
        </w:rPr>
        <w:t xml:space="preserve">Curated override rules</w:t>
      </w:r>
      <w:r>
        <w:t xml:space="preserve">, added by clinical reviewers for high-severity or high-volume workflows.</w:t>
      </w:r>
    </w:p>
    <w:p>
      <w:pPr>
        <w:pStyle w:val="Compact"/>
        <w:numPr>
          <w:ilvl w:val="0"/>
          <w:numId w:val="1007"/>
        </w:numPr>
      </w:pPr>
      <w:r>
        <w:rPr>
          <w:b/>
          <w:bCs/>
        </w:rPr>
        <w:t xml:space="preserve">Signal-only hypotheses</w:t>
      </w:r>
      <w:r>
        <w:t xml:space="preserve">, kept out of frontline warnings unless governed explicitly.</w:t>
      </w:r>
    </w:p>
    <w:p>
      <w:pPr>
        <w:pStyle w:val="FirstParagraph"/>
      </w:pPr>
      <w:r>
        <w:t xml:space="preserve">That is the safest way to handle interactions while staying honest about public-source limits.</w:t>
      </w:r>
      <w:r>
        <w:t xml:space="preserve"> </w:t>
      </w:r>
      <w:hyperlink r:id="rId22">
        <w:r>
          <w:rPr>
            <w:rStyle w:val="Hyperlink"/>
          </w:rPr>
          <w:t xml:space="preserve">[37]</w:t>
        </w:r>
      </w:hyperlink>
    </w:p>
    <w:bookmarkEnd w:id="52"/>
    <w:bookmarkStart w:id="53" w:name="validation-and-qa-tests"/>
    <w:p>
      <w:pPr>
        <w:pStyle w:val="Heading3"/>
      </w:pPr>
      <w:r>
        <w:t xml:space="preserve">Validation and QA tests</w:t>
      </w:r>
    </w:p>
    <w:p>
      <w:pPr>
        <w:pStyle w:val="FirstParagraph"/>
      </w:pPr>
      <w:r>
        <w:t xml:space="preserve">A medication-safety service should have both</w:t>
      </w:r>
      <w:r>
        <w:t xml:space="preserve"> </w:t>
      </w:r>
      <w:r>
        <w:rPr>
          <w:b/>
          <w:bCs/>
        </w:rPr>
        <w:t xml:space="preserve">data QA</w:t>
      </w:r>
      <w:r>
        <w:t xml:space="preserve"> </w:t>
      </w:r>
      <w:r>
        <w:t xml:space="preserve">and</w:t>
      </w:r>
      <w:r>
        <w:t xml:space="preserve"> </w:t>
      </w:r>
      <w:r>
        <w:rPr>
          <w:b/>
          <w:bCs/>
        </w:rPr>
        <w:t xml:space="preserve">clinical QA</w:t>
      </w:r>
      <w:r>
        <w:t xml:space="preserve">. The minimum useful battery includes the following: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Purpose</w:t>
            </w:r>
          </w:p>
        </w:tc>
      </w:tr>
      <w:tr>
        <w:tc>
          <w:tcPr/>
          <w:p>
            <w:pPr>
              <w:pStyle w:val="Compact"/>
            </w:pPr>
            <w:r>
              <w:rPr>
                <w:b/>
                <w:bCs/>
              </w:rPr>
              <w:t xml:space="preserve">Identity resolution test</w:t>
            </w:r>
          </w:p>
        </w:tc>
        <w:tc>
          <w:tcPr/>
          <w:p>
            <w:pPr>
              <w:pStyle w:val="Compact"/>
            </w:pPr>
            <w:r>
              <w:t xml:space="preserve">Every published rule must resolve to a canonical ingredient and, where relevant, a product or class.</w:t>
            </w:r>
          </w:p>
        </w:tc>
      </w:tr>
      <w:tr>
        <w:tc>
          <w:tcPr/>
          <w:p>
            <w:pPr>
              <w:pStyle w:val="Compact"/>
            </w:pPr>
            <w:r>
              <w:rPr>
                <w:b/>
                <w:bCs/>
              </w:rPr>
              <w:t xml:space="preserve">Primary-source requirement</w:t>
            </w:r>
          </w:p>
        </w:tc>
        <w:tc>
          <w:tcPr/>
          <w:p>
            <w:pPr>
              <w:pStyle w:val="Compact"/>
            </w:pPr>
            <w:r>
              <w:t xml:space="preserve">Any</w:t>
            </w:r>
            <w:r>
              <w:t xml:space="preserve"> </w:t>
            </w:r>
            <w:r>
              <w:rPr>
                <w:rStyle w:val="VerbatimChar"/>
              </w:rPr>
              <w:t xml:space="preserve">contraindicated</w:t>
            </w:r>
            <w:r>
              <w:t xml:space="preserve"> </w:t>
            </w:r>
            <w:r>
              <w:t xml:space="preserve">or</w:t>
            </w:r>
            <w:r>
              <w:t xml:space="preserve"> </w:t>
            </w:r>
            <w:r>
              <w:rPr>
                <w:rStyle w:val="VerbatimChar"/>
              </w:rPr>
              <w:t xml:space="preserve">black_box</w:t>
            </w:r>
            <w:r>
              <w:t xml:space="preserve"> </w:t>
            </w:r>
            <w:r>
              <w:t xml:space="preserve">publication must have at least one primary official source attached.</w:t>
            </w:r>
          </w:p>
        </w:tc>
      </w:tr>
      <w:tr>
        <w:tc>
          <w:tcPr/>
          <w:p>
            <w:pPr>
              <w:pStyle w:val="Compact"/>
            </w:pPr>
            <w:r>
              <w:rPr>
                <w:b/>
                <w:bCs/>
              </w:rPr>
              <w:t xml:space="preserve">Section-presence test</w:t>
            </w:r>
          </w:p>
        </w:tc>
        <w:tc>
          <w:tcPr/>
          <w:p>
            <w:pPr>
              <w:pStyle w:val="Compact"/>
            </w:pPr>
            <w:r>
              <w:t xml:space="preserve">A rule derived from</w:t>
            </w:r>
            <w:r>
              <w:t xml:space="preserve"> </w:t>
            </w:r>
            <w:r>
              <w:rPr>
                <w:rStyle w:val="VerbatimChar"/>
              </w:rPr>
              <w:t xml:space="preserve">contraindications</w:t>
            </w:r>
            <w:r>
              <w:t xml:space="preserve">,</w:t>
            </w:r>
            <w:r>
              <w:t xml:space="preserve"> </w:t>
            </w:r>
            <w:r>
              <w:rPr>
                <w:rStyle w:val="VerbatimChar"/>
              </w:rPr>
              <w:t xml:space="preserve">boxed_warning</w:t>
            </w:r>
            <w:r>
              <w:t xml:space="preserve">, or</w:t>
            </w:r>
            <w:r>
              <w:t xml:space="preserve"> </w:t>
            </w:r>
            <w:r>
              <w:rPr>
                <w:rStyle w:val="VerbatimChar"/>
              </w:rPr>
              <w:t xml:space="preserve">drug_interactions</w:t>
            </w:r>
            <w:r>
              <w:t xml:space="preserve"> </w:t>
            </w:r>
            <w:r>
              <w:t xml:space="preserve">must point to that exact section and version.</w:t>
            </w:r>
          </w:p>
        </w:tc>
      </w:tr>
      <w:tr>
        <w:tc>
          <w:tcPr/>
          <w:p>
            <w:pPr>
              <w:pStyle w:val="Compact"/>
            </w:pPr>
            <w:r>
              <w:rPr>
                <w:b/>
                <w:bCs/>
              </w:rPr>
              <w:t xml:space="preserve">Age-qualifier test</w:t>
            </w:r>
          </w:p>
        </w:tc>
        <w:tc>
          <w:tcPr/>
          <w:p>
            <w:pPr>
              <w:pStyle w:val="Compact"/>
            </w:pPr>
            <w:r>
              <w:t xml:space="preserve">Pediatric and geriatric rule qualifiers must not leak into other age groups.</w:t>
            </w:r>
          </w:p>
        </w:tc>
      </w:tr>
      <w:tr>
        <w:tc>
          <w:tcPr/>
          <w:p>
            <w:pPr>
              <w:pStyle w:val="Compact"/>
            </w:pPr>
            <w:r>
              <w:rPr>
                <w:b/>
                <w:bCs/>
              </w:rPr>
              <w:t xml:space="preserve">Comorbidity-scope test</w:t>
            </w:r>
          </w:p>
        </w:tc>
        <w:tc>
          <w:tcPr/>
          <w:p>
            <w:pPr>
              <w:pStyle w:val="Compact"/>
            </w:pPr>
            <w:r>
              <w:t xml:space="preserve">Rules for renal, hepatic, pregnancy, or disease-specific hazards must require a matching patient qualifier to fire.</w:t>
            </w:r>
          </w:p>
        </w:tc>
      </w:tr>
      <w:tr>
        <w:tc>
          <w:tcPr/>
          <w:p>
            <w:pPr>
              <w:pStyle w:val="Compact"/>
            </w:pPr>
            <w:r>
              <w:rPr>
                <w:b/>
                <w:bCs/>
              </w:rPr>
              <w:t xml:space="preserve">Class-expansion regression</w:t>
            </w:r>
          </w:p>
        </w:tc>
        <w:tc>
          <w:tcPr/>
          <w:p>
            <w:pPr>
              <w:pStyle w:val="Compact"/>
            </w:pPr>
            <w:r>
              <w:t xml:space="preserve">Class rules must expand reproducibly through RxClass or ATC without generating duplicate alerts.</w:t>
            </w:r>
          </w:p>
        </w:tc>
      </w:tr>
      <w:tr>
        <w:tc>
          <w:tcPr/>
          <w:p>
            <w:pPr>
              <w:pStyle w:val="Compact"/>
            </w:pPr>
            <w:r>
              <w:rPr>
                <w:b/>
                <w:bCs/>
              </w:rPr>
              <w:t xml:space="preserve">Freshness SLA test</w:t>
            </w:r>
          </w:p>
        </w:tc>
        <w:tc>
          <w:tcPr/>
          <w:p>
            <w:pPr>
              <w:pStyle w:val="Compact"/>
            </w:pPr>
            <w:r>
              <w:t xml:space="preserve">If any source goes stale beyond threshold, the service should degrade visibly rather than silently serving stale “current” results.</w:t>
            </w:r>
          </w:p>
        </w:tc>
      </w:tr>
      <w:tr>
        <w:tc>
          <w:tcPr/>
          <w:p>
            <w:pPr>
              <w:pStyle w:val="Compact"/>
            </w:pPr>
            <w:r>
              <w:rPr>
                <w:b/>
                <w:bCs/>
              </w:rPr>
              <w:t xml:space="preserve">Clinical review gate</w:t>
            </w:r>
          </w:p>
        </w:tc>
        <w:tc>
          <w:tcPr/>
          <w:p>
            <w:pPr>
              <w:pStyle w:val="Compact"/>
            </w:pPr>
            <w:r>
              <w:t xml:space="preserve">Severity escalations and newly generated contraindications should require human sign-off before release.</w:t>
            </w:r>
          </w:p>
        </w:tc>
      </w:tr>
    </w:tbl>
    <w:p>
      <w:pPr>
        <w:pStyle w:val="BodyText"/>
      </w:pPr>
      <w:r>
        <w:t xml:space="preserve">Those validations are not overkill. They are the operational response to the fact that DailyMed and openFDA both emphasize versioned label data, disclaim verification limits, and update at different cadences.</w:t>
      </w:r>
      <w:r>
        <w:t xml:space="preserve"> </w:t>
      </w:r>
      <w:hyperlink r:id="rId21">
        <w:r>
          <w:rPr>
            <w:rStyle w:val="Hyperlink"/>
          </w:rPr>
          <w:t xml:space="preserve">[38]</w:t>
        </w:r>
      </w:hyperlink>
    </w:p>
    <w:bookmarkEnd w:id="53"/>
    <w:bookmarkStart w:id="54" w:name="change-detection-and-update-cadence"/>
    <w:p>
      <w:pPr>
        <w:pStyle w:val="Heading3"/>
      </w:pPr>
      <w:r>
        <w:t xml:space="preserve">Change detection and update cadence</w:t>
      </w:r>
    </w:p>
    <w:p>
      <w:pPr>
        <w:pStyle w:val="FirstParagraph"/>
      </w:pPr>
      <w:r>
        <w:t xml:space="preserve">A solid operational cadence is:</w:t>
      </w:r>
    </w:p>
    <w:p>
      <w:pPr>
        <w:pStyle w:val="Compact"/>
        <w:numPr>
          <w:ilvl w:val="0"/>
          <w:numId w:val="1008"/>
        </w:numPr>
      </w:pPr>
      <w:r>
        <w:rPr>
          <w:b/>
          <w:bCs/>
        </w:rPr>
        <w:t xml:space="preserve">Daily:</w:t>
      </w:r>
      <w:r>
        <w:t xml:space="preserve"> </w:t>
      </w:r>
      <w:r>
        <w:t xml:space="preserve">DailyMed incremental refresh; openFDA NDC; openFDA Drugs@FDA; EMA and NHS source-health checks. DailyMed supports published-date filtering, and openFDA NDC is daily.</w:t>
      </w:r>
      <w:r>
        <w:t xml:space="preserve"> </w:t>
      </w:r>
      <w:hyperlink r:id="rId49">
        <w:r>
          <w:rPr>
            <w:rStyle w:val="Hyperlink"/>
          </w:rPr>
          <w:t xml:space="preserve">[39]</w:t>
        </w:r>
      </w:hyperlink>
    </w:p>
    <w:p>
      <w:pPr>
        <w:pStyle w:val="Compact"/>
        <w:numPr>
          <w:ilvl w:val="0"/>
          <w:numId w:val="1008"/>
        </w:numPr>
      </w:pPr>
      <w:r>
        <w:rPr>
          <w:b/>
          <w:bCs/>
        </w:rPr>
        <w:t xml:space="preserve">Weekly:</w:t>
      </w:r>
      <w:r>
        <w:t xml:space="preserve"> </w:t>
      </w:r>
      <w:r>
        <w:t xml:space="preserve">openFDA label refresh; NHS content refresh; guideline-feed checks where licensed; label-diff generation. openFDA label is weekly.</w:t>
      </w:r>
      <w:r>
        <w:t xml:space="preserve"> </w:t>
      </w:r>
      <w:hyperlink r:id="rId26">
        <w:r>
          <w:rPr>
            <w:rStyle w:val="Hyperlink"/>
          </w:rPr>
          <w:t xml:space="preserve">[40]</w:t>
        </w:r>
      </w:hyperlink>
    </w:p>
    <w:p>
      <w:pPr>
        <w:pStyle w:val="Compact"/>
        <w:numPr>
          <w:ilvl w:val="0"/>
          <w:numId w:val="1008"/>
        </w:numPr>
      </w:pPr>
      <w:r>
        <w:rPr>
          <w:b/>
          <w:bCs/>
        </w:rPr>
        <w:t xml:space="preserve">Monthly:</w:t>
      </w:r>
      <w:r>
        <w:t xml:space="preserve"> </w:t>
      </w:r>
      <w:r>
        <w:t xml:space="preserve">RxNorm/RxClass release synchronization; SNOMED CT, where used; WHO or national code refreshes as needed. RxNav states monthly updates following the RxNorm release, and SNOMED CT’s International Edition is currently released monthly.</w:t>
      </w:r>
      <w:r>
        <w:t xml:space="preserve"> </w:t>
      </w:r>
      <w:hyperlink r:id="rId22">
        <w:r>
          <w:rPr>
            <w:rStyle w:val="Hyperlink"/>
          </w:rPr>
          <w:t xml:space="preserve">[41]</w:t>
        </w:r>
      </w:hyperlink>
    </w:p>
    <w:p>
      <w:pPr>
        <w:pStyle w:val="Compact"/>
        <w:numPr>
          <w:ilvl w:val="0"/>
          <w:numId w:val="1008"/>
        </w:numPr>
      </w:pPr>
      <w:r>
        <w:rPr>
          <w:b/>
          <w:bCs/>
        </w:rPr>
        <w:t xml:space="preserve">Quarterly:</w:t>
      </w:r>
      <w:r>
        <w:t xml:space="preserve"> </w:t>
      </w:r>
      <w:r>
        <w:t xml:space="preserve">openFDA event refresh and signal review; evidence surveillance batch from PubMed/PMC. openFDA event is quarterly and lagged.</w:t>
      </w:r>
      <w:r>
        <w:t xml:space="preserve"> </w:t>
      </w:r>
      <w:hyperlink r:id="rId28">
        <w:r>
          <w:rPr>
            <w:rStyle w:val="Hyperlink"/>
          </w:rPr>
          <w:t xml:space="preserve">[42]</w:t>
        </w:r>
      </w:hyperlink>
    </w:p>
    <w:p>
      <w:pPr>
        <w:pStyle w:val="Compact"/>
        <w:numPr>
          <w:ilvl w:val="0"/>
          <w:numId w:val="1008"/>
        </w:numPr>
      </w:pPr>
      <w:r>
        <w:rPr>
          <w:b/>
          <w:bCs/>
        </w:rPr>
        <w:t xml:space="preserve">Annual or biennial:</w:t>
      </w:r>
      <w:r>
        <w:t xml:space="preserve"> </w:t>
      </w:r>
      <w:r>
        <w:t xml:space="preserve">WHO ATC/DDD and EML/EMLc refreshes. WHO EML/EMLc refresh every two years, while ATC/DDD is updated annually.</w:t>
      </w:r>
      <w:r>
        <w:t xml:space="preserve"> </w:t>
      </w:r>
      <w:hyperlink r:id="rId34">
        <w:r>
          <w:rPr>
            <w:rStyle w:val="Hyperlink"/>
          </w:rPr>
          <w:t xml:space="preserve">[43]</w:t>
        </w:r>
      </w:hyperlink>
    </w:p>
    <w:p>
      <w:pPr>
        <w:pStyle w:val="FirstParagraph"/>
      </w:pPr>
      <w:r>
        <w:t xml:space="preserve">Change detection should rely on</w:t>
      </w:r>
      <w:r>
        <w:t xml:space="preserve"> </w:t>
      </w:r>
      <w:r>
        <w:rPr>
          <w:b/>
          <w:bCs/>
        </w:rPr>
        <w:t xml:space="preserve">both metadata and content hashes</w:t>
      </w:r>
      <w:r>
        <w:t xml:space="preserve">. The useful metadata keys are</w:t>
      </w:r>
      <w:r>
        <w:t xml:space="preserve"> </w:t>
      </w:r>
      <w:r>
        <w:rPr>
          <w:rStyle w:val="VerbatimChar"/>
        </w:rPr>
        <w:t xml:space="preserve">set_id</w:t>
      </w:r>
      <w:r>
        <w:t xml:space="preserve">,</w:t>
      </w:r>
      <w:r>
        <w:t xml:space="preserve"> </w:t>
      </w:r>
      <w:r>
        <w:rPr>
          <w:rStyle w:val="VerbatimChar"/>
        </w:rPr>
        <w:t xml:space="preserve">effective_time</w:t>
      </w:r>
      <w:r>
        <w:t xml:space="preserve">,</w:t>
      </w:r>
      <w:r>
        <w:t xml:space="preserve"> </w:t>
      </w:r>
      <w:r>
        <w:rPr>
          <w:rStyle w:val="VerbatimChar"/>
        </w:rPr>
        <w:t xml:space="preserve">published_date</w:t>
      </w:r>
      <w:r>
        <w:t xml:space="preserve">,</w:t>
      </w:r>
      <w:r>
        <w:t xml:space="preserve"> </w:t>
      </w:r>
      <w:r>
        <w:rPr>
          <w:rStyle w:val="VerbatimChar"/>
        </w:rPr>
        <w:t xml:space="preserve">spl_version</w:t>
      </w:r>
      <w:r>
        <w:t xml:space="preserve">,</w:t>
      </w:r>
      <w:r>
        <w:t xml:space="preserve"> </w:t>
      </w:r>
      <w:r>
        <w:rPr>
          <w:rStyle w:val="VerbatimChar"/>
        </w:rPr>
        <w:t xml:space="preserve">last_updated_date</w:t>
      </w:r>
      <w:r>
        <w:t xml:space="preserve">, source release versions, and document URLs. But metadata alone is not enough; a content hash on the relevant sections lets you detect meaning-changing text edits even when the source does not expose a clean semantic diff.</w:t>
      </w:r>
      <w:r>
        <w:t xml:space="preserve"> </w:t>
      </w:r>
      <w:hyperlink r:id="rId49">
        <w:r>
          <w:rPr>
            <w:rStyle w:val="Hyperlink"/>
          </w:rPr>
          <w:t xml:space="preserve">[44]</w:t>
        </w:r>
      </w:hyperlink>
    </w:p>
    <w:bookmarkEnd w:id="54"/>
    <w:bookmarkEnd w:id="55"/>
    <w:bookmarkStart w:id="61" w:name="service-api-and-user-experience"/>
    <w:p>
      <w:pPr>
        <w:pStyle w:val="Heading2"/>
      </w:pPr>
      <w:r>
        <w:t xml:space="preserve">Service API and user experience</w:t>
      </w:r>
    </w:p>
    <w:p>
      <w:pPr>
        <w:pStyle w:val="FirstParagraph"/>
      </w:pPr>
      <w:r>
        <w:t xml:space="preserve">Your public-facing or internal application should call</w:t>
      </w:r>
      <w:r>
        <w:t xml:space="preserve"> </w:t>
      </w:r>
      <w:r>
        <w:rPr>
          <w:b/>
          <w:bCs/>
        </w:rPr>
        <w:t xml:space="preserve">your own normalized knowledge service</w:t>
      </w:r>
      <w:r>
        <w:t xml:space="preserve">, not the external public APIs directly. That is the better design for correctness, latency, quota control, and auditability. openFDA has explicit per-key quotas; RxNav imposes per-IP request ceilings and recommends 12–24 hour caching; NCBI E-utilities impose rate guidance and escalation rules. Those constraints are manageable in ETL, but awkward in live patient-request paths.</w:t>
      </w:r>
      <w:r>
        <w:t xml:space="preserve"> </w:t>
      </w:r>
      <w:hyperlink r:id="rId56">
        <w:r>
          <w:rPr>
            <w:rStyle w:val="Hyperlink"/>
          </w:rPr>
          <w:t xml:space="preserve">[45]</w:t>
        </w:r>
      </w:hyperlink>
    </w:p>
    <w:bookmarkStart w:id="57" w:name="recommended-runtime-endpoints"/>
    <w:p>
      <w:pPr>
        <w:pStyle w:val="Heading3"/>
      </w:pPr>
      <w:r>
        <w:t xml:space="preserve">Recommended runtime endpoints</w:t>
      </w:r>
    </w:p>
    <w:p>
      <w:pPr>
        <w:pStyle w:val="FirstParagraph"/>
      </w:pPr>
      <w:r>
        <w:t xml:space="preserve">A practical API surface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POST /v1/risk-check</w:t>
            </w:r>
          </w:p>
        </w:tc>
        <w:tc>
          <w:tcPr/>
          <w:p>
            <w:pPr>
              <w:pStyle w:val="Compact"/>
            </w:pPr>
            <w:r>
              <w:t xml:space="preserve">Evaluate one patient risk profile against one or more candidate medications.</w:t>
            </w:r>
          </w:p>
        </w:tc>
      </w:tr>
      <w:tr>
        <w:tc>
          <w:tcPr/>
          <w:p>
            <w:pPr>
              <w:pStyle w:val="Compact"/>
            </w:pPr>
            <w:r>
              <w:rPr>
                <w:rStyle w:val="VerbatimChar"/>
              </w:rPr>
              <w:t xml:space="preserve">POST /v1/batch-risk-check</w:t>
            </w:r>
          </w:p>
        </w:tc>
        <w:tc>
          <w:tcPr/>
          <w:p>
            <w:pPr>
              <w:pStyle w:val="Compact"/>
            </w:pPr>
            <w:r>
              <w:t xml:space="preserve">Screen a full medication list against a patient profile.</w:t>
            </w:r>
          </w:p>
        </w:tc>
      </w:tr>
      <w:tr>
        <w:tc>
          <w:tcPr/>
          <w:p>
            <w:pPr>
              <w:pStyle w:val="Compact"/>
            </w:pPr>
            <w:r>
              <w:rPr>
                <w:rStyle w:val="VerbatimChar"/>
              </w:rPr>
              <w:t xml:space="preserve">GET /v1/drugs/{rxcui}</w:t>
            </w:r>
          </w:p>
        </w:tc>
        <w:tc>
          <w:tcPr/>
          <w:p>
            <w:pPr>
              <w:pStyle w:val="Compact"/>
            </w:pPr>
            <w:r>
              <w:t xml:space="preserve">Return canonical ingredient or product details and source-backed evidence.</w:t>
            </w:r>
          </w:p>
        </w:tc>
      </w:tr>
      <w:tr>
        <w:tc>
          <w:tcPr/>
          <w:p>
            <w:pPr>
              <w:pStyle w:val="Compact"/>
            </w:pPr>
            <w:r>
              <w:rPr>
                <w:rStyle w:val="VerbatimChar"/>
              </w:rPr>
              <w:t xml:space="preserve">GET /v1/rules/{id}</w:t>
            </w:r>
          </w:p>
        </w:tc>
        <w:tc>
          <w:tcPr/>
          <w:p>
            <w:pPr>
              <w:pStyle w:val="Compact"/>
            </w:pPr>
            <w:r>
              <w:t xml:space="preserve">Retrieve a specific contraindication, caution, or interaction rule with provenance.</w:t>
            </w:r>
          </w:p>
        </w:tc>
      </w:tr>
      <w:tr>
        <w:tc>
          <w:tcPr/>
          <w:p>
            <w:pPr>
              <w:pStyle w:val="Compact"/>
            </w:pPr>
            <w:r>
              <w:rPr>
                <w:rStyle w:val="VerbatimChar"/>
              </w:rPr>
              <w:t xml:space="preserve">GET /v1/changes</w:t>
            </w:r>
          </w:p>
        </w:tc>
        <w:tc>
          <w:tcPr/>
          <w:p>
            <w:pPr>
              <w:pStyle w:val="Compact"/>
            </w:pPr>
            <w:r>
              <w:t xml:space="preserve">Return recent knowledge-base changes, optionally filtered by severity or source.</w:t>
            </w:r>
          </w:p>
        </w:tc>
      </w:tr>
      <w:tr>
        <w:tc>
          <w:tcPr/>
          <w:p>
            <w:pPr>
              <w:pStyle w:val="Compact"/>
            </w:pPr>
            <w:r>
              <w:rPr>
                <w:rStyle w:val="VerbatimChar"/>
              </w:rPr>
              <w:t xml:space="preserve">POST /v1/feedback</w:t>
            </w:r>
          </w:p>
        </w:tc>
        <w:tc>
          <w:tcPr/>
          <w:p>
            <w:pPr>
              <w:pStyle w:val="Compact"/>
            </w:pPr>
            <w:r>
              <w:t xml:space="preserve">Capture pharmacist or clinician feedback on false positives, ambiguity, or overrides.</w:t>
            </w:r>
          </w:p>
        </w:tc>
      </w:tr>
      <w:tr>
        <w:tc>
          <w:tcPr/>
          <w:p>
            <w:pPr>
              <w:pStyle w:val="Compact"/>
            </w:pPr>
            <w:r>
              <w:rPr>
                <w:rStyle w:val="VerbatimChar"/>
              </w:rPr>
              <w:t xml:space="preserve">GET /v1/sources/status</w:t>
            </w:r>
          </w:p>
        </w:tc>
        <w:tc>
          <w:tcPr/>
          <w:p>
            <w:pPr>
              <w:pStyle w:val="Compact"/>
            </w:pPr>
            <w:r>
              <w:t xml:space="preserve">Return freshness, last successful refresh, and ETL health by source.</w:t>
            </w:r>
          </w:p>
        </w:tc>
      </w:tr>
    </w:tbl>
    <w:p>
      <w:pPr>
        <w:pStyle w:val="BodyText"/>
      </w:pPr>
      <w:r>
        <w:t xml:space="preserve">A representative request body should be condition- and medication-centric rather than app-specific:</w:t>
      </w:r>
    </w:p>
    <w:p>
      <w:pPr>
        <w:pStyle w:val="SourceCode"/>
      </w:pPr>
      <w:r>
        <w:rPr>
          <w:rStyle w:val="VerbatimChar"/>
        </w:rPr>
        <w:t xml:space="preserve">{</w:t>
      </w:r>
      <w:r>
        <w:br/>
      </w:r>
      <w:r>
        <w:rPr>
          <w:rStyle w:val="VerbatimChar"/>
        </w:rPr>
        <w:t xml:space="preserve">  "patient": {</w:t>
      </w:r>
      <w:r>
        <w:br/>
      </w:r>
      <w:r>
        <w:rPr>
          <w:rStyle w:val="VerbatimChar"/>
        </w:rPr>
        <w:t xml:space="preserve">    "ageYears": 6,</w:t>
      </w:r>
      <w:r>
        <w:br/>
      </w:r>
      <w:r>
        <w:rPr>
          <w:rStyle w:val="VerbatimChar"/>
        </w:rPr>
        <w:t xml:space="preserve">    "conditions": [</w:t>
      </w:r>
      <w:r>
        <w:br/>
      </w:r>
      <w:r>
        <w:rPr>
          <w:rStyle w:val="VerbatimChar"/>
        </w:rPr>
        <w:t xml:space="preserve">      { "codeSystem": "ICD-11", "code": "example-code", "display": "example condition" }</w:t>
      </w:r>
      <w:r>
        <w:br/>
      </w:r>
      <w:r>
        <w:rPr>
          <w:rStyle w:val="VerbatimChar"/>
        </w:rPr>
        <w:t xml:space="preserve">    ],</w:t>
      </w:r>
      <w:r>
        <w:br/>
      </w:r>
      <w:r>
        <w:rPr>
          <w:rStyle w:val="VerbatimChar"/>
        </w:rPr>
        <w:t xml:space="preserve">    "qualifiers": [</w:t>
      </w:r>
      <w:r>
        <w:br/>
      </w:r>
      <w:r>
        <w:rPr>
          <w:rStyle w:val="VerbatimChar"/>
        </w:rPr>
        <w:t xml:space="preserve">      { "type": "renal_status", "value": "normal" },</w:t>
      </w:r>
      <w:r>
        <w:br/>
      </w:r>
      <w:r>
        <w:rPr>
          <w:rStyle w:val="VerbatimChar"/>
        </w:rPr>
        <w:t xml:space="preserve">      { "type": "pregnancy_status", "value": "not_applicable" }</w:t>
      </w:r>
      <w:r>
        <w:br/>
      </w:r>
      <w:r>
        <w:rPr>
          <w:rStyle w:val="VerbatimChar"/>
        </w:rPr>
        <w:t xml:space="preserve">    ],</w:t>
      </w:r>
      <w:r>
        <w:br/>
      </w:r>
      <w:r>
        <w:rPr>
          <w:rStyle w:val="VerbatimChar"/>
        </w:rPr>
        <w:t xml:space="preserve">    "currentMedications": [</w:t>
      </w:r>
      <w:r>
        <w:br/>
      </w:r>
      <w:r>
        <w:rPr>
          <w:rStyle w:val="VerbatimChar"/>
        </w:rPr>
        <w:t xml:space="preserve">      { "drug": "warfarin", "inputType": "name" }</w:t>
      </w:r>
      <w:r>
        <w:br/>
      </w:r>
      <w:r>
        <w:rPr>
          <w:rStyle w:val="VerbatimChar"/>
        </w:rPr>
        <w:t xml:space="preserve">    ]</w:t>
      </w:r>
      <w:r>
        <w:br/>
      </w:r>
      <w:r>
        <w:rPr>
          <w:rStyle w:val="VerbatimChar"/>
        </w:rPr>
        <w:t xml:space="preserve">  },</w:t>
      </w:r>
      <w:r>
        <w:br/>
      </w:r>
      <w:r>
        <w:rPr>
          <w:rStyle w:val="VerbatimChar"/>
        </w:rPr>
        <w:t xml:space="preserve">  "candidateMedications": [</w:t>
      </w:r>
      <w:r>
        <w:br/>
      </w:r>
      <w:r>
        <w:rPr>
          <w:rStyle w:val="VerbatimChar"/>
        </w:rPr>
        <w:t xml:space="preserve">    { "drug": "trimethoprim-sulfamethoxazole", "inputType": "name" }</w:t>
      </w:r>
      <w:r>
        <w:br/>
      </w:r>
      <w:r>
        <w:rPr>
          <w:rStyle w:val="VerbatimChar"/>
        </w:rPr>
        <w:t xml:space="preserve">  ],</w:t>
      </w:r>
      <w:r>
        <w:br/>
      </w:r>
      <w:r>
        <w:rPr>
          <w:rStyle w:val="VerbatimChar"/>
        </w:rPr>
        <w:t xml:space="preserve">  "jurisdiction": "US"</w:t>
      </w:r>
      <w:r>
        <w:br/>
      </w:r>
      <w:r>
        <w:rPr>
          <w:rStyle w:val="VerbatimChar"/>
        </w:rPr>
        <w:t xml:space="preserve">}</w:t>
      </w:r>
    </w:p>
    <w:p>
      <w:pPr>
        <w:pStyle w:val="FirstParagraph"/>
      </w:pPr>
      <w:r>
        <w:t xml:space="preserve">A representative response should separate</w:t>
      </w:r>
      <w:r>
        <w:t xml:space="preserve"> </w:t>
      </w:r>
      <w:r>
        <w:rPr>
          <w:b/>
          <w:bCs/>
        </w:rPr>
        <w:t xml:space="preserve">finding</w:t>
      </w:r>
      <w:r>
        <w:t xml:space="preserve">,</w:t>
      </w:r>
      <w:r>
        <w:t xml:space="preserve"> </w:t>
      </w:r>
      <w:r>
        <w:rPr>
          <w:b/>
          <w:bCs/>
        </w:rPr>
        <w:t xml:space="preserve">severity</w:t>
      </w:r>
      <w:r>
        <w:t xml:space="preserve">,</w:t>
      </w:r>
      <w:r>
        <w:t xml:space="preserve"> </w:t>
      </w:r>
      <w:r>
        <w:rPr>
          <w:b/>
          <w:bCs/>
        </w:rPr>
        <w:t xml:space="preserve">why</w:t>
      </w:r>
      <w:r>
        <w:t xml:space="preserve">, and</w:t>
      </w:r>
      <w:r>
        <w:t xml:space="preserve"> </w:t>
      </w:r>
      <w:r>
        <w:rPr>
          <w:b/>
          <w:bCs/>
        </w:rPr>
        <w:t xml:space="preserve">provenance</w:t>
      </w:r>
      <w:r>
        <w:t xml:space="preserve">:</w:t>
      </w:r>
    </w:p>
    <w:p>
      <w:pPr>
        <w:pStyle w:val="SourceCode"/>
      </w:pPr>
      <w:r>
        <w:rPr>
          <w:rStyle w:val="VerbatimChar"/>
        </w:rPr>
        <w:t xml:space="preserve">{</w:t>
      </w:r>
      <w:r>
        <w:br/>
      </w:r>
      <w:r>
        <w:rPr>
          <w:rStyle w:val="VerbatimChar"/>
        </w:rPr>
        <w:t xml:space="preserve">  "queryId": "rc_20260506_001",</w:t>
      </w:r>
      <w:r>
        <w:br/>
      </w:r>
      <w:r>
        <w:rPr>
          <w:rStyle w:val="VerbatimChar"/>
        </w:rPr>
        <w:t xml:space="preserve">  "results": [</w:t>
      </w:r>
      <w:r>
        <w:br/>
      </w:r>
      <w:r>
        <w:rPr>
          <w:rStyle w:val="VerbatimChar"/>
        </w:rPr>
        <w:t xml:space="preserve">    {</w:t>
      </w:r>
      <w:r>
        <w:br/>
      </w:r>
      <w:r>
        <w:rPr>
          <w:rStyle w:val="VerbatimChar"/>
        </w:rPr>
        <w:t xml:space="preserve">      "candidate": {</w:t>
      </w:r>
      <w:r>
        <w:br/>
      </w:r>
      <w:r>
        <w:rPr>
          <w:rStyle w:val="VerbatimChar"/>
        </w:rPr>
        <w:t xml:space="preserve">        "ingredient": "trimethoprim-sulfamethoxazole",</w:t>
      </w:r>
      <w:r>
        <w:br/>
      </w:r>
      <w:r>
        <w:rPr>
          <w:rStyle w:val="VerbatimChar"/>
        </w:rPr>
        <w:t xml:space="preserve">        "rxcui": "example"</w:t>
      </w:r>
      <w:r>
        <w:br/>
      </w:r>
      <w:r>
        <w:rPr>
          <w:rStyle w:val="VerbatimChar"/>
        </w:rPr>
        <w:t xml:space="preserve">      },</w:t>
      </w:r>
      <w:r>
        <w:br/>
      </w:r>
      <w:r>
        <w:rPr>
          <w:rStyle w:val="VerbatimChar"/>
        </w:rPr>
        <w:t xml:space="preserve">      "findings": [</w:t>
      </w:r>
      <w:r>
        <w:br/>
      </w:r>
      <w:r>
        <w:rPr>
          <w:rStyle w:val="VerbatimChar"/>
        </w:rPr>
        <w:t xml:space="preserve">        {</w:t>
      </w:r>
      <w:r>
        <w:br/>
      </w:r>
      <w:r>
        <w:rPr>
          <w:rStyle w:val="VerbatimChar"/>
        </w:rPr>
        <w:t xml:space="preserve">          "type": "interaction",</w:t>
      </w:r>
      <w:r>
        <w:br/>
      </w:r>
      <w:r>
        <w:rPr>
          <w:rStyle w:val="VerbatimChar"/>
        </w:rPr>
        <w:t xml:space="preserve">          "severity": "use_with_caution",</w:t>
      </w:r>
      <w:r>
        <w:br/>
      </w:r>
      <w:r>
        <w:rPr>
          <w:rStyle w:val="VerbatimChar"/>
        </w:rPr>
        <w:t xml:space="preserve">          "boxedWarning": false,</w:t>
      </w:r>
      <w:r>
        <w:br/>
      </w:r>
      <w:r>
        <w:rPr>
          <w:rStyle w:val="VerbatimChar"/>
        </w:rPr>
        <w:t xml:space="preserve">          "whyFlagged": "Potential interaction with an active medication in the patient profile.",</w:t>
      </w:r>
      <w:r>
        <w:br/>
      </w:r>
      <w:r>
        <w:rPr>
          <w:rStyle w:val="VerbatimChar"/>
        </w:rPr>
        <w:t xml:space="preserve">          "evidenceLevel": "label",</w:t>
      </w:r>
      <w:r>
        <w:br/>
      </w:r>
      <w:r>
        <w:rPr>
          <w:rStyle w:val="VerbatimChar"/>
        </w:rPr>
        <w:t xml:space="preserve">          "sources": [</w:t>
      </w:r>
      <w:r>
        <w:br/>
      </w:r>
      <w:r>
        <w:rPr>
          <w:rStyle w:val="VerbatimChar"/>
        </w:rPr>
        <w:t xml:space="preserve">            {</w:t>
      </w:r>
      <w:r>
        <w:br/>
      </w:r>
      <w:r>
        <w:rPr>
          <w:rStyle w:val="VerbatimChar"/>
        </w:rPr>
        <w:t xml:space="preserve">              "sourceName": "DailyMed",</w:t>
      </w:r>
      <w:r>
        <w:br/>
      </w:r>
      <w:r>
        <w:rPr>
          <w:rStyle w:val="VerbatimChar"/>
        </w:rPr>
        <w:t xml:space="preserve">              "sourceType": "label",</w:t>
      </w:r>
      <w:r>
        <w:br/>
      </w:r>
      <w:r>
        <w:rPr>
          <w:rStyle w:val="VerbatimChar"/>
        </w:rPr>
        <w:t xml:space="preserve">              "sourceUrl":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"knowledgeVersion": "2026-05-06.1"</w:t>
      </w:r>
      <w:r>
        <w:br/>
      </w:r>
      <w:r>
        <w:rPr>
          <w:rStyle w:val="VerbatimChar"/>
        </w:rPr>
        <w:t xml:space="preserve">}</w:t>
      </w:r>
    </w:p>
    <w:p>
      <w:pPr>
        <w:pStyle w:val="FirstParagraph"/>
      </w:pPr>
      <w:r>
        <w:t xml:space="preserve">For authentication, use</w:t>
      </w:r>
      <w:r>
        <w:t xml:space="preserve"> </w:t>
      </w:r>
      <w:r>
        <w:rPr>
          <w:b/>
          <w:bCs/>
        </w:rPr>
        <w:t xml:space="preserve">OAuth 2.1 / OIDC</w:t>
      </w:r>
      <w:r>
        <w:t xml:space="preserve"> </w:t>
      </w:r>
      <w:r>
        <w:t xml:space="preserve">for user-facing clients and</w:t>
      </w:r>
      <w:r>
        <w:t xml:space="preserve"> </w:t>
      </w:r>
      <w:r>
        <w:rPr>
          <w:b/>
          <w:bCs/>
        </w:rPr>
        <w:t xml:space="preserve">service accounts</w:t>
      </w:r>
      <w:r>
        <w:t xml:space="preserve"> </w:t>
      </w:r>
      <w:r>
        <w:t xml:space="preserve">for backend clients. Your own API rate limits can be more generous than upstream public limits because you control caching and storage. A good default is a per-client limit plus a separate quota for batch checks, with asynchronous webhooks or queue-based exports for large retrospective re-screenings.</w:t>
      </w:r>
    </w:p>
    <w:bookmarkEnd w:id="57"/>
    <w:bookmarkStart w:id="58" w:name="ui-and-ux-patterns"/>
    <w:p>
      <w:pPr>
        <w:pStyle w:val="Heading3"/>
      </w:pPr>
      <w:r>
        <w:t xml:space="preserve">UI and UX patterns</w:t>
      </w:r>
    </w:p>
    <w:p>
      <w:pPr>
        <w:pStyle w:val="FirstParagraph"/>
      </w:pPr>
      <w:r>
        <w:t xml:space="preserve">A medication-safety service has two primary audiences, and they need different interfaces.</w:t>
      </w:r>
    </w:p>
    <w:p>
      <w:pPr>
        <w:pStyle w:val="BodyText"/>
      </w:pPr>
      <w:r>
        <w:t xml:space="preserve">For</w:t>
      </w:r>
      <w:r>
        <w:t xml:space="preserve"> </w:t>
      </w:r>
      <w:r>
        <w:rPr>
          <w:b/>
          <w:bCs/>
        </w:rPr>
        <w:t xml:space="preserve">clinicians</w:t>
      </w:r>
      <w:r>
        <w:t xml:space="preserve">, the most successful pattern is a structured evidence panel:</w:t>
      </w:r>
    </w:p>
    <w:p>
      <w:pPr>
        <w:pStyle w:val="Compact"/>
        <w:numPr>
          <w:ilvl w:val="0"/>
          <w:numId w:val="1009"/>
        </w:numPr>
      </w:pPr>
      <w:r>
        <w:t xml:space="preserve">severity chip</w:t>
      </w:r>
    </w:p>
    <w:p>
      <w:pPr>
        <w:pStyle w:val="Compact"/>
        <w:numPr>
          <w:ilvl w:val="0"/>
          <w:numId w:val="1009"/>
        </w:numPr>
      </w:pPr>
      <w:r>
        <w:t xml:space="preserve">contraindication or boxed-warning badge</w:t>
      </w:r>
    </w:p>
    <w:p>
      <w:pPr>
        <w:pStyle w:val="Compact"/>
        <w:numPr>
          <w:ilvl w:val="0"/>
          <w:numId w:val="1009"/>
        </w:numPr>
      </w:pPr>
      <w:r>
        <w:t xml:space="preserve">route and age qualifiers</w:t>
      </w:r>
    </w:p>
    <w:p>
      <w:pPr>
        <w:pStyle w:val="Compact"/>
        <w:numPr>
          <w:ilvl w:val="0"/>
          <w:numId w:val="1009"/>
        </w:numPr>
      </w:pPr>
      <w:r>
        <w:t xml:space="preserve">interacting medication or comorbidity trigger</w:t>
      </w:r>
    </w:p>
    <w:p>
      <w:pPr>
        <w:pStyle w:val="Compact"/>
        <w:numPr>
          <w:ilvl w:val="0"/>
          <w:numId w:val="1009"/>
        </w:numPr>
      </w:pPr>
      <w:r>
        <w:t xml:space="preserve">management recommendation</w:t>
      </w:r>
    </w:p>
    <w:p>
      <w:pPr>
        <w:pStyle w:val="Compact"/>
        <w:numPr>
          <w:ilvl w:val="0"/>
          <w:numId w:val="1009"/>
        </w:numPr>
      </w:pPr>
      <w:r>
        <w:t xml:space="preserve">source drawer showing label/guideline text and the exact source version</w:t>
      </w:r>
    </w:p>
    <w:p>
      <w:pPr>
        <w:pStyle w:val="FirstParagraph"/>
      </w:pPr>
      <w:r>
        <w:t xml:space="preserve">That level of transparency matters because public sources vary in validation posture. A clinician should be able to see whether a warning came from a contraindications section, a drug-interactions section, a guideline, or a literature-derived curation layer.</w:t>
      </w:r>
      <w:r>
        <w:t xml:space="preserve"> </w:t>
      </w:r>
      <w:hyperlink r:id="rId26">
        <w:r>
          <w:rPr>
            <w:rStyle w:val="Hyperlink"/>
          </w:rPr>
          <w:t xml:space="preserve">[46]</w:t>
        </w:r>
      </w:hyperlink>
    </w:p>
    <w:p>
      <w:pPr>
        <w:pStyle w:val="BodyText"/>
      </w:pPr>
      <w:r>
        <w:t xml:space="preserve">For</w:t>
      </w:r>
      <w:r>
        <w:t xml:space="preserve"> </w:t>
      </w:r>
      <w:r>
        <w:rPr>
          <w:b/>
          <w:bCs/>
        </w:rPr>
        <w:t xml:space="preserve">patients or caregivers</w:t>
      </w:r>
      <w:r>
        <w:t xml:space="preserve">, the UI should be much simpler:</w:t>
      </w:r>
    </w:p>
    <w:p>
      <w:pPr>
        <w:pStyle w:val="Compact"/>
        <w:numPr>
          <w:ilvl w:val="0"/>
          <w:numId w:val="1010"/>
        </w:numPr>
      </w:pPr>
      <w:r>
        <w:t xml:space="preserve">“Do not use without clinician approval”</w:t>
      </w:r>
    </w:p>
    <w:p>
      <w:pPr>
        <w:pStyle w:val="Compact"/>
        <w:numPr>
          <w:ilvl w:val="0"/>
          <w:numId w:val="1010"/>
        </w:numPr>
      </w:pPr>
      <w:r>
        <w:t xml:space="preserve">“Ask your pharmacist or doctor first”</w:t>
      </w:r>
    </w:p>
    <w:p>
      <w:pPr>
        <w:pStyle w:val="Compact"/>
        <w:numPr>
          <w:ilvl w:val="0"/>
          <w:numId w:val="1010"/>
        </w:numPr>
      </w:pPr>
      <w:r>
        <w:t xml:space="preserve">“Monitor closely”</w:t>
      </w:r>
    </w:p>
    <w:p>
      <w:pPr>
        <w:pStyle w:val="Compact"/>
        <w:numPr>
          <w:ilvl w:val="0"/>
          <w:numId w:val="1010"/>
        </w:numPr>
      </w:pPr>
      <w:r>
        <w:t xml:space="preserve">“Why am I seeing this?”</w:t>
      </w:r>
    </w:p>
    <w:p>
      <w:pPr>
        <w:pStyle w:val="FirstParagraph"/>
      </w:pPr>
      <w:r>
        <w:t xml:space="preserve">NHS content is useful here because it offers machine-readable consumer-facing pages about medications and conditions, but it should remain an explanatory layer, not the primary adjudication layer.</w:t>
      </w:r>
      <w:r>
        <w:t xml:space="preserve"> </w:t>
      </w:r>
      <w:hyperlink r:id="rId33">
        <w:r>
          <w:rPr>
            <w:rStyle w:val="Hyperlink"/>
          </w:rPr>
          <w:t xml:space="preserve">[17]</w:t>
        </w:r>
      </w:hyperlink>
    </w:p>
    <w:p>
      <w:pPr>
        <w:pStyle w:val="BodyText"/>
      </w:pPr>
      <w:r>
        <w:t xml:space="preserve">A particularly important UX pattern is to show</w:t>
      </w:r>
      <w:r>
        <w:t xml:space="preserve"> </w:t>
      </w:r>
      <w:r>
        <w:rPr>
          <w:b/>
          <w:bCs/>
        </w:rPr>
        <w:t xml:space="preserve">condition-triggered</w:t>
      </w:r>
      <w:r>
        <w:t xml:space="preserve"> </w:t>
      </w:r>
      <w:r>
        <w:t xml:space="preserve">and</w:t>
      </w:r>
      <w:r>
        <w:t xml:space="preserve"> </w:t>
      </w:r>
      <w:r>
        <w:rPr>
          <w:b/>
          <w:bCs/>
        </w:rPr>
        <w:t xml:space="preserve">medication-triggered</w:t>
      </w:r>
      <w:r>
        <w:t xml:space="preserve"> </w:t>
      </w:r>
      <w:r>
        <w:t xml:space="preserve">risks separately. For example, one card might say “Risk due to kidney disease,” and another might say “Risk due to combination with current medicine.” That reduces user confusion and aligns with the structure of your rule base.</w:t>
      </w:r>
    </w:p>
    <w:bookmarkEnd w:id="58"/>
    <w:bookmarkStart w:id="59" w:name="sample-node.js-integration"/>
    <w:p>
      <w:pPr>
        <w:pStyle w:val="Heading3"/>
      </w:pPr>
      <w:r>
        <w:t xml:space="preserve">Sample Node.js integration</w:t>
      </w:r>
    </w:p>
    <w:p>
      <w:pPr>
        <w:pStyle w:val="SourceCode"/>
      </w:pPr>
      <w:r>
        <w:rPr>
          <w:rStyle w:val="VerbatimChar"/>
        </w:rPr>
        <w:t xml:space="preserve">// node &gt;= 18</w:t>
      </w:r>
      <w:r>
        <w:br/>
      </w:r>
      <w:r>
        <w:rPr>
          <w:rStyle w:val="VerbatimChar"/>
        </w:rPr>
        <w:t xml:space="preserve">// Example client for an internal medication-safety service.</w:t>
      </w:r>
      <w:r>
        <w:br/>
      </w:r>
      <w:r>
        <w:br/>
      </w:r>
      <w:r>
        <w:rPr>
          <w:rStyle w:val="VerbatimChar"/>
        </w:rPr>
        <w:t xml:space="preserve">async function checkMedicationRisk({</w:t>
      </w:r>
      <w:r>
        <w:br/>
      </w:r>
      <w:r>
        <w:rPr>
          <w:rStyle w:val="VerbatimChar"/>
        </w:rPr>
        <w:t xml:space="preserve">  baseUrl,</w:t>
      </w:r>
      <w:r>
        <w:br/>
      </w:r>
      <w:r>
        <w:rPr>
          <w:rStyle w:val="VerbatimChar"/>
        </w:rPr>
        <w:t xml:space="preserve">  token,</w:t>
      </w:r>
      <w:r>
        <w:br/>
      </w:r>
      <w:r>
        <w:rPr>
          <w:rStyle w:val="VerbatimChar"/>
        </w:rPr>
        <w:t xml:space="preserve">  patient,</w:t>
      </w:r>
      <w:r>
        <w:br/>
      </w:r>
      <w:r>
        <w:rPr>
          <w:rStyle w:val="VerbatimChar"/>
        </w:rPr>
        <w:t xml:space="preserve">  candidateMedications</w:t>
      </w:r>
      <w:r>
        <w:br/>
      </w:r>
      <w:r>
        <w:rPr>
          <w:rStyle w:val="VerbatimChar"/>
        </w:rPr>
        <w:t xml:space="preserve">}) {</w:t>
      </w:r>
      <w:r>
        <w:br/>
      </w:r>
      <w:r>
        <w:rPr>
          <w:rStyle w:val="VerbatimChar"/>
        </w:rPr>
        <w:t xml:space="preserve">  const res = await fetch(`${baseUrl}/v1/risk-check`, {</w:t>
      </w:r>
      <w:r>
        <w:br/>
      </w:r>
      <w:r>
        <w:rPr>
          <w:rStyle w:val="VerbatimChar"/>
        </w:rPr>
        <w:t xml:space="preserve">    method: "POST",</w:t>
      </w:r>
      <w:r>
        <w:br/>
      </w:r>
      <w:r>
        <w:rPr>
          <w:rStyle w:val="VerbatimChar"/>
        </w:rPr>
        <w:t xml:space="preserve">    headers: {</w:t>
      </w:r>
      <w:r>
        <w:br/>
      </w:r>
      <w:r>
        <w:rPr>
          <w:rStyle w:val="VerbatimChar"/>
        </w:rPr>
        <w:t xml:space="preserve">      "Authorization": `Bearer ${token}`,</w:t>
      </w:r>
      <w:r>
        <w:br/>
      </w:r>
      <w:r>
        <w:rPr>
          <w:rStyle w:val="VerbatimChar"/>
        </w:rPr>
        <w:t xml:space="preserve">      "Content-Type": "application/json",</w:t>
      </w:r>
      <w:r>
        <w:br/>
      </w:r>
      <w:r>
        <w:rPr>
          <w:rStyle w:val="VerbatimChar"/>
        </w:rPr>
        <w:t xml:space="preserve">      "Accept": "application/json"</w:t>
      </w:r>
      <w:r>
        <w:br/>
      </w:r>
      <w:r>
        <w:rPr>
          <w:rStyle w:val="VerbatimChar"/>
        </w:rPr>
        <w:t xml:space="preserve">    },</w:t>
      </w:r>
      <w:r>
        <w:br/>
      </w:r>
      <w:r>
        <w:rPr>
          <w:rStyle w:val="VerbatimChar"/>
        </w:rPr>
        <w:t xml:space="preserve">    body: JSON.stringify({ patient, candidateMedications, jurisdiction: "US" })</w:t>
      </w:r>
      <w:r>
        <w:br/>
      </w:r>
      <w:r>
        <w:rPr>
          <w:rStyle w:val="VerbatimChar"/>
        </w:rPr>
        <w:t xml:space="preserve">  });</w:t>
      </w:r>
      <w:r>
        <w:br/>
      </w:r>
      <w:r>
        <w:br/>
      </w:r>
      <w:r>
        <w:rPr>
          <w:rStyle w:val="VerbatimChar"/>
        </w:rPr>
        <w:t xml:space="preserve">  if (!res.ok) {</w:t>
      </w:r>
      <w:r>
        <w:br/>
      </w:r>
      <w:r>
        <w:rPr>
          <w:rStyle w:val="VerbatimChar"/>
        </w:rPr>
        <w:t xml:space="preserve">    throw new Error(`Risk-check failed: ${res.status} ${res.statusText}`);</w:t>
      </w:r>
      <w:r>
        <w:br/>
      </w:r>
      <w:r>
        <w:rPr>
          <w:rStyle w:val="VerbatimChar"/>
        </w:rPr>
        <w:t xml:space="preserve">  }</w:t>
      </w:r>
      <w:r>
        <w:br/>
      </w:r>
      <w:r>
        <w:br/>
      </w:r>
      <w:r>
        <w:rPr>
          <w:rStyle w:val="VerbatimChar"/>
        </w:rPr>
        <w:t xml:space="preserve">  return res.json();</w:t>
      </w:r>
      <w:r>
        <w:br/>
      </w:r>
      <w:r>
        <w:rPr>
          <w:rStyle w:val="VerbatimChar"/>
        </w:rPr>
        <w:t xml:space="preserve">}</w:t>
      </w:r>
      <w:r>
        <w:br/>
      </w:r>
      <w:r>
        <w:br/>
      </w:r>
      <w:r>
        <w:rPr>
          <w:rStyle w:val="VerbatimChar"/>
        </w:rPr>
        <w:t xml:space="preserve">(async () =&gt; {</w:t>
      </w:r>
      <w:r>
        <w:br/>
      </w:r>
      <w:r>
        <w:rPr>
          <w:rStyle w:val="VerbatimChar"/>
        </w:rPr>
        <w:t xml:space="preserve">  const patient = {</w:t>
      </w:r>
      <w:r>
        <w:br/>
      </w:r>
      <w:r>
        <w:rPr>
          <w:rStyle w:val="VerbatimChar"/>
        </w:rPr>
        <w:t xml:space="preserve">    ageYears: 6,</w:t>
      </w:r>
      <w:r>
        <w:br/>
      </w:r>
      <w:r>
        <w:rPr>
          <w:rStyle w:val="VerbatimChar"/>
        </w:rPr>
        <w:t xml:space="preserve">    conditions: [</w:t>
      </w:r>
      <w:r>
        <w:br/>
      </w:r>
      <w:r>
        <w:rPr>
          <w:rStyle w:val="VerbatimChar"/>
        </w:rPr>
        <w:t xml:space="preserve">      { codeSystem: "ICD-11", code: "example-code", display: "example condition" }</w:t>
      </w:r>
      <w:r>
        <w:br/>
      </w:r>
      <w:r>
        <w:rPr>
          <w:rStyle w:val="VerbatimChar"/>
        </w:rPr>
        <w:t xml:space="preserve">    ],</w:t>
      </w:r>
      <w:r>
        <w:br/>
      </w:r>
      <w:r>
        <w:rPr>
          <w:rStyle w:val="VerbatimChar"/>
        </w:rPr>
        <w:t xml:space="preserve">    qualifiers: [{ type: "renal_status", value: "normal" }],</w:t>
      </w:r>
      <w:r>
        <w:br/>
      </w:r>
      <w:r>
        <w:rPr>
          <w:rStyle w:val="VerbatimChar"/>
        </w:rPr>
        <w:t xml:space="preserve">    currentMedications: [{ drug: "warfarin", inputType: "name" }]</w:t>
      </w:r>
      <w:r>
        <w:br/>
      </w:r>
      <w:r>
        <w:rPr>
          <w:rStyle w:val="VerbatimChar"/>
        </w:rPr>
        <w:t xml:space="preserve">  };</w:t>
      </w:r>
      <w:r>
        <w:br/>
      </w:r>
      <w:r>
        <w:br/>
      </w:r>
      <w:r>
        <w:rPr>
          <w:rStyle w:val="VerbatimChar"/>
        </w:rPr>
        <w:t xml:space="preserve">  const candidateMedications = [</w:t>
      </w:r>
      <w:r>
        <w:br/>
      </w:r>
      <w:r>
        <w:rPr>
          <w:rStyle w:val="VerbatimChar"/>
        </w:rPr>
        <w:t xml:space="preserve">    { drug: "trimethoprim-sulfamethoxazole", inputType: "name" }</w:t>
      </w:r>
      <w:r>
        <w:br/>
      </w:r>
      <w:r>
        <w:rPr>
          <w:rStyle w:val="VerbatimChar"/>
        </w:rPr>
        <w:t xml:space="preserve">  ];</w:t>
      </w:r>
      <w:r>
        <w:br/>
      </w:r>
      <w:r>
        <w:br/>
      </w:r>
      <w:r>
        <w:rPr>
          <w:rStyle w:val="VerbatimChar"/>
        </w:rPr>
        <w:t xml:space="preserve">  const data = await checkMedicationRisk({</w:t>
      </w:r>
      <w:r>
        <w:br/>
      </w:r>
      <w:r>
        <w:rPr>
          <w:rStyle w:val="VerbatimChar"/>
        </w:rPr>
        <w:t xml:space="preserve">    baseUrl: "https://api.example.com",</w:t>
      </w:r>
      <w:r>
        <w:br/>
      </w:r>
      <w:r>
        <w:rPr>
          <w:rStyle w:val="VerbatimChar"/>
        </w:rPr>
        <w:t xml:space="preserve">    token: process.env.MEDSAFE_TOKEN,</w:t>
      </w:r>
      <w:r>
        <w:br/>
      </w:r>
      <w:r>
        <w:rPr>
          <w:rStyle w:val="VerbatimChar"/>
        </w:rPr>
        <w:t xml:space="preserve">    patient,</w:t>
      </w:r>
      <w:r>
        <w:br/>
      </w:r>
      <w:r>
        <w:rPr>
          <w:rStyle w:val="VerbatimChar"/>
        </w:rPr>
        <w:t xml:space="preserve">    candidateMedications</w:t>
      </w:r>
      <w:r>
        <w:br/>
      </w:r>
      <w:r>
        <w:rPr>
          <w:rStyle w:val="VerbatimChar"/>
        </w:rPr>
        <w:t xml:space="preserve">  });</w:t>
      </w:r>
      <w:r>
        <w:br/>
      </w:r>
      <w:r>
        <w:br/>
      </w:r>
      <w:r>
        <w:rPr>
          <w:rStyle w:val="VerbatimChar"/>
        </w:rPr>
        <w:t xml:space="preserve">  console.log(JSON.stringify(data, null, 2));</w:t>
      </w:r>
      <w:r>
        <w:br/>
      </w:r>
      <w:r>
        <w:rPr>
          <w:rStyle w:val="VerbatimChar"/>
        </w:rPr>
        <w:t xml:space="preserve">})();</w:t>
      </w:r>
    </w:p>
    <w:bookmarkEnd w:id="59"/>
    <w:bookmarkStart w:id="60" w:name="sample-python-integration"/>
    <w:p>
      <w:pPr>
        <w:pStyle w:val="Heading3"/>
      </w:pPr>
      <w:r>
        <w:t xml:space="preserve">Sample Python integration</w:t>
      </w:r>
    </w:p>
    <w:p>
      <w:pPr>
        <w:pStyle w:val="SourceCode"/>
      </w:pPr>
      <w:r>
        <w:rPr>
          <w:rStyle w:val="VerbatimChar"/>
        </w:rPr>
        <w:t xml:space="preserve">from __future__ import annotations</w:t>
      </w:r>
      <w:r>
        <w:br/>
      </w:r>
      <w:r>
        <w:br/>
      </w:r>
      <w:r>
        <w:rPr>
          <w:rStyle w:val="VerbatimChar"/>
        </w:rPr>
        <w:t xml:space="preserve">import json</w:t>
      </w:r>
      <w:r>
        <w:br/>
      </w:r>
      <w:r>
        <w:rPr>
          <w:rStyle w:val="VerbatimChar"/>
        </w:rPr>
        <w:t xml:space="preserve">import os</w:t>
      </w:r>
      <w:r>
        <w:br/>
      </w:r>
      <w:r>
        <w:rPr>
          <w:rStyle w:val="VerbatimChar"/>
        </w:rPr>
        <w:t xml:space="preserve">import requests</w:t>
      </w:r>
      <w:r>
        <w:br/>
      </w:r>
      <w:r>
        <w:br/>
      </w:r>
      <w:r>
        <w:rPr>
          <w:rStyle w:val="VerbatimChar"/>
        </w:rPr>
        <w:t xml:space="preserve">def risk_check(base_url: str, token: str, payload: dict) -&gt; dict:</w:t>
      </w:r>
      <w:r>
        <w:br/>
      </w:r>
      <w:r>
        <w:rPr>
          <w:rStyle w:val="VerbatimChar"/>
        </w:rPr>
        <w:t xml:space="preserve">    response = requests.post(</w:t>
      </w:r>
      <w:r>
        <w:br/>
      </w:r>
      <w:r>
        <w:rPr>
          <w:rStyle w:val="VerbatimChar"/>
        </w:rPr>
        <w:t xml:space="preserve">        f"{base_url}/v1/risk-check",</w:t>
      </w:r>
      <w:r>
        <w:br/>
      </w:r>
      <w:r>
        <w:rPr>
          <w:rStyle w:val="VerbatimChar"/>
        </w:rPr>
        <w:t xml:space="preserve">        headers={</w:t>
      </w:r>
      <w:r>
        <w:br/>
      </w:r>
      <w:r>
        <w:rPr>
          <w:rStyle w:val="VerbatimChar"/>
        </w:rPr>
        <w:t xml:space="preserve">            "Authorization": f"Bearer {token}",</w:t>
      </w:r>
      <w:r>
        <w:br/>
      </w:r>
      <w:r>
        <w:rPr>
          <w:rStyle w:val="VerbatimChar"/>
        </w:rPr>
        <w:t xml:space="preserve">            "Content-Type": "application/json",</w:t>
      </w:r>
      <w:r>
        <w:br/>
      </w:r>
      <w:r>
        <w:rPr>
          <w:rStyle w:val="VerbatimChar"/>
        </w:rPr>
        <w:t xml:space="preserve">            "Accept": "application/json",</w:t>
      </w:r>
      <w:r>
        <w:br/>
      </w:r>
      <w:r>
        <w:rPr>
          <w:rStyle w:val="VerbatimChar"/>
        </w:rPr>
        <w:t xml:space="preserve">        },</w:t>
      </w:r>
      <w:r>
        <w:br/>
      </w:r>
      <w:r>
        <w:rPr>
          <w:rStyle w:val="VerbatimChar"/>
        </w:rPr>
        <w:t xml:space="preserve">        data=json.dumps(payload),</w:t>
      </w:r>
      <w:r>
        <w:br/>
      </w:r>
      <w:r>
        <w:rPr>
          <w:rStyle w:val="VerbatimChar"/>
        </w:rPr>
        <w:t xml:space="preserve">        timeout=30,</w:t>
      </w:r>
      <w:r>
        <w:br/>
      </w:r>
      <w:r>
        <w:rPr>
          <w:rStyle w:val="VerbatimChar"/>
        </w:rPr>
        <w:t xml:space="preserve">    )</w:t>
      </w:r>
      <w:r>
        <w:br/>
      </w:r>
      <w:r>
        <w:rPr>
          <w:rStyle w:val="VerbatimChar"/>
        </w:rPr>
        <w:t xml:space="preserve">    response.raise_for_status()</w:t>
      </w:r>
      <w:r>
        <w:br/>
      </w:r>
      <w:r>
        <w:rPr>
          <w:rStyle w:val="VerbatimChar"/>
        </w:rPr>
        <w:t xml:space="preserve">    return response.json()</w:t>
      </w:r>
      <w:r>
        <w:br/>
      </w:r>
      <w:r>
        <w:br/>
      </w:r>
      <w:r>
        <w:rPr>
          <w:rStyle w:val="VerbatimChar"/>
        </w:rPr>
        <w:t xml:space="preserve">if __name__ == "__main__":</w:t>
      </w:r>
      <w:r>
        <w:br/>
      </w:r>
      <w:r>
        <w:rPr>
          <w:rStyle w:val="VerbatimChar"/>
        </w:rPr>
        <w:t xml:space="preserve">    payload = {</w:t>
      </w:r>
      <w:r>
        <w:br/>
      </w:r>
      <w:r>
        <w:rPr>
          <w:rStyle w:val="VerbatimChar"/>
        </w:rPr>
        <w:t xml:space="preserve">        "patient": {</w:t>
      </w:r>
      <w:r>
        <w:br/>
      </w:r>
      <w:r>
        <w:rPr>
          <w:rStyle w:val="VerbatimChar"/>
        </w:rPr>
        <w:t xml:space="preserve">            "ageYears": 6,</w:t>
      </w:r>
      <w:r>
        <w:br/>
      </w:r>
      <w:r>
        <w:rPr>
          <w:rStyle w:val="VerbatimChar"/>
        </w:rPr>
        <w:t xml:space="preserve">            "conditions": [</w:t>
      </w:r>
      <w:r>
        <w:br/>
      </w:r>
      <w:r>
        <w:rPr>
          <w:rStyle w:val="VerbatimChar"/>
        </w:rPr>
        <w:t xml:space="preserve">                {"codeSystem": "ICD-11", "code": "example-code", "display": "example condition"}</w:t>
      </w:r>
      <w:r>
        <w:br/>
      </w:r>
      <w:r>
        <w:rPr>
          <w:rStyle w:val="VerbatimChar"/>
        </w:rPr>
        <w:t xml:space="preserve">            ],</w:t>
      </w:r>
      <w:r>
        <w:br/>
      </w:r>
      <w:r>
        <w:rPr>
          <w:rStyle w:val="VerbatimChar"/>
        </w:rPr>
        <w:t xml:space="preserve">            "qualifiers": [</w:t>
      </w:r>
      <w:r>
        <w:br/>
      </w:r>
      <w:r>
        <w:rPr>
          <w:rStyle w:val="VerbatimChar"/>
        </w:rPr>
        <w:t xml:space="preserve">                {"type": "renal_status", "value": "normal"}</w:t>
      </w:r>
      <w:r>
        <w:br/>
      </w:r>
      <w:r>
        <w:rPr>
          <w:rStyle w:val="VerbatimChar"/>
        </w:rPr>
        <w:t xml:space="preserve">            ],</w:t>
      </w:r>
      <w:r>
        <w:br/>
      </w:r>
      <w:r>
        <w:rPr>
          <w:rStyle w:val="VerbatimChar"/>
        </w:rPr>
        <w:t xml:space="preserve">            "currentMedications": [</w:t>
      </w:r>
      <w:r>
        <w:br/>
      </w:r>
      <w:r>
        <w:rPr>
          <w:rStyle w:val="VerbatimChar"/>
        </w:rPr>
        <w:t xml:space="preserve">                {"drug": "warfarin", "inputType": "name"}</w:t>
      </w:r>
      <w:r>
        <w:br/>
      </w:r>
      <w:r>
        <w:rPr>
          <w:rStyle w:val="VerbatimChar"/>
        </w:rPr>
        <w:t xml:space="preserve">            ]</w:t>
      </w:r>
      <w:r>
        <w:br/>
      </w:r>
      <w:r>
        <w:rPr>
          <w:rStyle w:val="VerbatimChar"/>
        </w:rPr>
        <w:t xml:space="preserve">        },</w:t>
      </w:r>
      <w:r>
        <w:br/>
      </w:r>
      <w:r>
        <w:rPr>
          <w:rStyle w:val="VerbatimChar"/>
        </w:rPr>
        <w:t xml:space="preserve">        "candidateMedications": [</w:t>
      </w:r>
      <w:r>
        <w:br/>
      </w:r>
      <w:r>
        <w:rPr>
          <w:rStyle w:val="VerbatimChar"/>
        </w:rPr>
        <w:t xml:space="preserve">            {"drug": "trimethoprim-sulfamethoxazole", "inputType": "name"}</w:t>
      </w:r>
      <w:r>
        <w:br/>
      </w:r>
      <w:r>
        <w:rPr>
          <w:rStyle w:val="VerbatimChar"/>
        </w:rPr>
        <w:t xml:space="preserve">        ],</w:t>
      </w:r>
      <w:r>
        <w:br/>
      </w:r>
      <w:r>
        <w:rPr>
          <w:rStyle w:val="VerbatimChar"/>
        </w:rPr>
        <w:t xml:space="preserve">        "jurisdiction": "US"</w:t>
      </w:r>
      <w:r>
        <w:br/>
      </w:r>
      <w:r>
        <w:rPr>
          <w:rStyle w:val="VerbatimChar"/>
        </w:rPr>
        <w:t xml:space="preserve">    }</w:t>
      </w:r>
      <w:r>
        <w:br/>
      </w:r>
      <w:r>
        <w:br/>
      </w:r>
      <w:r>
        <w:rPr>
          <w:rStyle w:val="VerbatimChar"/>
        </w:rPr>
        <w:t xml:space="preserve">    result = risk_check(</w:t>
      </w:r>
      <w:r>
        <w:br/>
      </w:r>
      <w:r>
        <w:rPr>
          <w:rStyle w:val="VerbatimChar"/>
        </w:rPr>
        <w:t xml:space="preserve">        base_url="https://api.example.com",</w:t>
      </w:r>
      <w:r>
        <w:br/>
      </w:r>
      <w:r>
        <w:rPr>
          <w:rStyle w:val="VerbatimChar"/>
        </w:rPr>
        <w:t xml:space="preserve">        token=os.environ["MEDSAFE_TOKEN"],</w:t>
      </w:r>
      <w:r>
        <w:br/>
      </w:r>
      <w:r>
        <w:rPr>
          <w:rStyle w:val="VerbatimChar"/>
        </w:rPr>
        <w:t xml:space="preserve">        payload=payload,</w:t>
      </w:r>
      <w:r>
        <w:br/>
      </w:r>
      <w:r>
        <w:rPr>
          <w:rStyle w:val="VerbatimChar"/>
        </w:rPr>
        <w:t xml:space="preserve">    )</w:t>
      </w:r>
      <w:r>
        <w:br/>
      </w:r>
      <w:r>
        <w:rPr>
          <w:rStyle w:val="VerbatimChar"/>
        </w:rPr>
        <w:t xml:space="preserve">    print(json.dumps(result, indent=2))</w:t>
      </w:r>
    </w:p>
    <w:bookmarkEnd w:id="60"/>
    <w:bookmarkEnd w:id="61"/>
    <w:bookmarkStart w:id="68" w:name="X3377c192f732618e995665fe1b121fd1403e494"/>
    <w:p>
      <w:pPr>
        <w:pStyle w:val="Heading2"/>
      </w:pPr>
      <w:r>
        <w:t xml:space="preserve">Deployment, security, governance, and roadmap</w:t>
      </w:r>
    </w:p>
    <w:p>
      <w:pPr>
        <w:pStyle w:val="FirstParagraph"/>
      </w:pPr>
      <w:r>
        <w:t xml:space="preserve">A robust deployment pattern is a</w:t>
      </w:r>
      <w:r>
        <w:t xml:space="preserve"> </w:t>
      </w:r>
      <w:r>
        <w:rPr>
          <w:b/>
          <w:bCs/>
        </w:rPr>
        <w:t xml:space="preserve">three-plane architecture</w:t>
      </w:r>
      <w:r>
        <w:t xml:space="preserve">: an API plane for risk checks, an ETL plane for scheduled ingestion and diffing, and a data plane for normalized storage plus immutable source snapshots. That architecture works equally well in containers, managed cloud services, or a serverless model with scheduled jobs. The operational reason to keep ETL separate is straightforward: public sources have different quotas, rate limits, update cadences, and bulk-download patterns.</w:t>
      </w:r>
      <w:r>
        <w:t xml:space="preserve"> </w:t>
      </w:r>
      <w:hyperlink r:id="rId62">
        <w:r>
          <w:rPr>
            <w:rStyle w:val="Hyperlink"/>
          </w:rPr>
          <w:t xml:space="preserve">[47]</w:t>
        </w:r>
      </w:hyperlink>
    </w:p>
    <w:bookmarkStart w:id="63" w:name="recommended-deployment-options"/>
    <w:p>
      <w:pPr>
        <w:pStyle w:val="Heading3"/>
      </w:pPr>
      <w:r>
        <w:t xml:space="preserve">Recommended deployment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Best fit</w:t>
            </w:r>
          </w:p>
        </w:tc>
        <w:tc>
          <w:tcPr/>
          <w:p>
            <w:pPr>
              <w:pStyle w:val="Compact"/>
            </w:pPr>
            <w:r>
              <w:t xml:space="preserve">Notes</w:t>
            </w:r>
          </w:p>
        </w:tc>
      </w:tr>
      <w:tr>
        <w:tc>
          <w:tcPr/>
          <w:p>
            <w:pPr>
              <w:pStyle w:val="Compact"/>
            </w:pPr>
            <w:r>
              <w:rPr>
                <w:b/>
                <w:bCs/>
              </w:rPr>
              <w:t xml:space="preserve">Containers on Kubernetes or ECS/AKS/GKE</w:t>
            </w:r>
          </w:p>
        </w:tc>
        <w:tc>
          <w:tcPr/>
          <w:p>
            <w:pPr>
              <w:pStyle w:val="Compact"/>
            </w:pPr>
            <w:r>
              <w:t xml:space="preserve">Teams that want maximum control, local source mirrors, and heavier ETL workers.</w:t>
            </w:r>
          </w:p>
        </w:tc>
        <w:tc>
          <w:tcPr/>
          <w:p>
            <w:pPr>
              <w:pStyle w:val="Compact"/>
            </w:pPr>
            <w:r>
              <w:t xml:space="preserve">Good for RxNav-in-a-Box, WHO ICD local deployment, and large batch jobs.</w:t>
            </w:r>
          </w:p>
        </w:tc>
      </w:tr>
      <w:tr>
        <w:tc>
          <w:tcPr/>
          <w:p>
            <w:pPr>
              <w:pStyle w:val="Compact"/>
            </w:pPr>
            <w:r>
              <w:rPr>
                <w:b/>
                <w:bCs/>
              </w:rPr>
              <w:t xml:space="preserve">Managed containers such as Cloud Run or Azure Container Apps</w:t>
            </w:r>
          </w:p>
        </w:tc>
        <w:tc>
          <w:tcPr/>
          <w:p>
            <w:pPr>
              <w:pStyle w:val="Compact"/>
            </w:pPr>
            <w:r>
              <w:t xml:space="preserve">Balanced option for most teams.</w:t>
            </w:r>
          </w:p>
        </w:tc>
        <w:tc>
          <w:tcPr/>
          <w:p>
            <w:pPr>
              <w:pStyle w:val="Compact"/>
            </w:pPr>
            <w:r>
              <w:t xml:space="preserve">Good for stateless APIs plus scheduled ETL workers with object storage and managed PostgreSQL.</w:t>
            </w:r>
          </w:p>
        </w:tc>
      </w:tr>
      <w:tr>
        <w:tc>
          <w:tcPr/>
          <w:p>
            <w:pPr>
              <w:pStyle w:val="Compact"/>
            </w:pPr>
            <w:r>
              <w:rPr>
                <w:b/>
                <w:bCs/>
              </w:rPr>
              <w:t xml:space="preserve">Serverless functions plus managed workflows</w:t>
            </w:r>
          </w:p>
        </w:tc>
        <w:tc>
          <w:tcPr/>
          <w:p>
            <w:pPr>
              <w:pStyle w:val="Compact"/>
            </w:pPr>
            <w:r>
              <w:t xml:space="preserve">Smaller teams or lower-throughput products.</w:t>
            </w:r>
          </w:p>
        </w:tc>
        <w:tc>
          <w:tcPr/>
          <w:p>
            <w:pPr>
              <w:pStyle w:val="Compact"/>
            </w:pPr>
            <w:r>
              <w:t xml:space="preserve">Fine for lightweight ETL and API endpoints, but long-running parsing and reclassification jobs often outgrow pure serverless.</w:t>
            </w:r>
          </w:p>
        </w:tc>
      </w:tr>
    </w:tbl>
    <w:bookmarkEnd w:id="63"/>
    <w:bookmarkStart w:id="64" w:name="security-and-privacy"/>
    <w:p>
      <w:pPr>
        <w:pStyle w:val="Heading3"/>
      </w:pPr>
      <w:r>
        <w:t xml:space="preserve">Security and privacy</w:t>
      </w:r>
    </w:p>
    <w:p>
      <w:pPr>
        <w:pStyle w:val="FirstParagraph"/>
      </w:pPr>
      <w:r>
        <w:t xml:space="preserve">The public-source datasets themselves do not require PHI. openFDA is explicit that it serves only public data and does not contain personally identifiable or other sensitive patient data; NHS also states that open data must not contain identifying information. The privacy risk appears when you join a patient’s diagnoses, age, medications, labs, or care history to your risk engine. That means the knowledge base can often live in a lower-sensitivity domain, while the runtime patient profile needs tighter controls.</w:t>
      </w:r>
      <w:r>
        <w:t xml:space="preserve"> </w:t>
      </w:r>
      <w:hyperlink r:id="rId46">
        <w:r>
          <w:rPr>
            <w:rStyle w:val="Hyperlink"/>
          </w:rPr>
          <w:t xml:space="preserve">[48]</w:t>
        </w:r>
      </w:hyperlink>
    </w:p>
    <w:p>
      <w:pPr>
        <w:pStyle w:val="BodyText"/>
      </w:pPr>
      <w:r>
        <w:t xml:space="preserve">The minimum security model should include:</w:t>
      </w:r>
    </w:p>
    <w:p>
      <w:pPr>
        <w:pStyle w:val="Compact"/>
        <w:numPr>
          <w:ilvl w:val="0"/>
          <w:numId w:val="1011"/>
        </w:numPr>
      </w:pPr>
      <w:r>
        <w:rPr>
          <w:b/>
          <w:bCs/>
        </w:rPr>
        <w:t xml:space="preserve">role-based access control</w:t>
      </w:r>
      <w:r>
        <w:t xml:space="preserve"> </w:t>
      </w:r>
      <w:r>
        <w:t xml:space="preserve">with separate clinician, patient, reviewer, and admin roles</w:t>
      </w:r>
    </w:p>
    <w:p>
      <w:pPr>
        <w:pStyle w:val="Compact"/>
        <w:numPr>
          <w:ilvl w:val="0"/>
          <w:numId w:val="1011"/>
        </w:numPr>
      </w:pPr>
      <w:r>
        <w:rPr>
          <w:b/>
          <w:bCs/>
        </w:rPr>
        <w:t xml:space="preserve">field-level minimization</w:t>
      </w:r>
      <w:r>
        <w:t xml:space="preserve"> </w:t>
      </w:r>
      <w:r>
        <w:t xml:space="preserve">for patient data in logs and job queues</w:t>
      </w:r>
    </w:p>
    <w:p>
      <w:pPr>
        <w:pStyle w:val="Compact"/>
        <w:numPr>
          <w:ilvl w:val="0"/>
          <w:numId w:val="1011"/>
        </w:numPr>
      </w:pPr>
      <w:r>
        <w:rPr>
          <w:b/>
          <w:bCs/>
        </w:rPr>
        <w:t xml:space="preserve">immutable audit trails</w:t>
      </w:r>
      <w:r>
        <w:t xml:space="preserve"> </w:t>
      </w:r>
      <w:r>
        <w:t xml:space="preserve">for severity changes, overrides, acknowledgements, and source updates</w:t>
      </w:r>
    </w:p>
    <w:p>
      <w:pPr>
        <w:pStyle w:val="Compact"/>
        <w:numPr>
          <w:ilvl w:val="0"/>
          <w:numId w:val="1011"/>
        </w:numPr>
      </w:pPr>
      <w:r>
        <w:rPr>
          <w:b/>
          <w:bCs/>
        </w:rPr>
        <w:t xml:space="preserve">encryption at rest and in transit</w:t>
      </w:r>
    </w:p>
    <w:p>
      <w:pPr>
        <w:pStyle w:val="Compact"/>
        <w:numPr>
          <w:ilvl w:val="0"/>
          <w:numId w:val="1011"/>
        </w:numPr>
      </w:pPr>
      <w:r>
        <w:rPr>
          <w:b/>
          <w:bCs/>
        </w:rPr>
        <w:t xml:space="preserve">segregated environments</w:t>
      </w:r>
      <w:r>
        <w:t xml:space="preserve"> </w:t>
      </w:r>
      <w:r>
        <w:t xml:space="preserve">for ETL credentials and patient-facing application secrets</w:t>
      </w:r>
    </w:p>
    <w:p>
      <w:pPr>
        <w:pStyle w:val="Compact"/>
        <w:numPr>
          <w:ilvl w:val="0"/>
          <w:numId w:val="1011"/>
        </w:numPr>
      </w:pPr>
      <w:r>
        <w:rPr>
          <w:b/>
          <w:bCs/>
        </w:rPr>
        <w:t xml:space="preserve">data-retention policies</w:t>
      </w:r>
      <w:r>
        <w:t xml:space="preserve"> </w:t>
      </w:r>
      <w:r>
        <w:t xml:space="preserve">that keep source snapshots but minimize PHI persistence</w:t>
      </w:r>
    </w:p>
    <w:p>
      <w:pPr>
        <w:pStyle w:val="FirstParagraph"/>
      </w:pPr>
      <w:r>
        <w:t xml:space="preserve">In regulated settings, the cleanest pattern is to keep the patient profile</w:t>
      </w:r>
      <w:r>
        <w:t xml:space="preserve"> </w:t>
      </w:r>
      <w:r>
        <w:rPr>
          <w:b/>
          <w:bCs/>
        </w:rPr>
        <w:t xml:space="preserve">ephemeral</w:t>
      </w:r>
      <w:r>
        <w:t xml:space="preserve"> </w:t>
      </w:r>
      <w:r>
        <w:t xml:space="preserve">at request time or store only a de-identified risk profile when long-term persistence is not required.</w:t>
      </w:r>
    </w:p>
    <w:bookmarkEnd w:id="64"/>
    <w:bookmarkStart w:id="65" w:name="monitoring-and-logging"/>
    <w:p>
      <w:pPr>
        <w:pStyle w:val="Heading3"/>
      </w:pPr>
      <w:r>
        <w:t xml:space="preserve">Monitoring and logging</w:t>
      </w:r>
    </w:p>
    <w:p>
      <w:pPr>
        <w:pStyle w:val="FirstParagraph"/>
      </w:pPr>
      <w:r>
        <w:t xml:space="preserve">Operational monitoring should include both engineering and clinical-content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Why it matters</w:t>
            </w:r>
          </w:p>
        </w:tc>
      </w:tr>
      <w:tr>
        <w:tc>
          <w:tcPr/>
          <w:p>
            <w:pPr>
              <w:pStyle w:val="Compact"/>
            </w:pPr>
            <w:r>
              <w:t xml:space="preserve">Source fetch success rate</w:t>
            </w:r>
          </w:p>
        </w:tc>
        <w:tc>
          <w:tcPr/>
          <w:p>
            <w:pPr>
              <w:pStyle w:val="Compact"/>
            </w:pPr>
            <w:r>
              <w:t xml:space="preserve">Detect upstream outages or credential failures.</w:t>
            </w:r>
          </w:p>
        </w:tc>
      </w:tr>
      <w:tr>
        <w:tc>
          <w:tcPr/>
          <w:p>
            <w:pPr>
              <w:pStyle w:val="Compact"/>
            </w:pPr>
            <w:r>
              <w:t xml:space="preserve">Parser success by section</w:t>
            </w:r>
          </w:p>
        </w:tc>
        <w:tc>
          <w:tcPr/>
          <w:p>
            <w:pPr>
              <w:pStyle w:val="Compact"/>
            </w:pPr>
            <w:r>
              <w:t xml:space="preserve">Catch site-structure or schema drift early.</w:t>
            </w:r>
          </w:p>
        </w:tc>
      </w:tr>
      <w:tr>
        <w:tc>
          <w:tcPr/>
          <w:p>
            <w:pPr>
              <w:pStyle w:val="Compact"/>
            </w:pPr>
            <w:r>
              <w:t xml:space="preserve">Freshness by source</w:t>
            </w:r>
          </w:p>
        </w:tc>
        <w:tc>
          <w:tcPr/>
          <w:p>
            <w:pPr>
              <w:pStyle w:val="Compact"/>
            </w:pPr>
            <w:r>
              <w:t xml:space="preserve">Prevent stale guidance from silently appearing current.</w:t>
            </w:r>
          </w:p>
        </w:tc>
      </w:tr>
      <w:tr>
        <w:tc>
          <w:tcPr/>
          <w:p>
            <w:pPr>
              <w:pStyle w:val="Compact"/>
            </w:pPr>
            <w:r>
              <w:t xml:space="preserve">API quota and 429 events</w:t>
            </w:r>
          </w:p>
        </w:tc>
        <w:tc>
          <w:tcPr/>
          <w:p>
            <w:pPr>
              <w:pStyle w:val="Compact"/>
            </w:pPr>
            <w:r>
              <w:t xml:space="preserve">Protect upstream integrations and forecast scaling needs.</w:t>
            </w:r>
          </w:p>
        </w:tc>
      </w:tr>
      <w:tr>
        <w:tc>
          <w:tcPr/>
          <w:p>
            <w:pPr>
              <w:pStyle w:val="Compact"/>
            </w:pPr>
            <w:r>
              <w:t xml:space="preserve">Rules added, changed, retired</w:t>
            </w:r>
          </w:p>
        </w:tc>
        <w:tc>
          <w:tcPr/>
          <w:p>
            <w:pPr>
              <w:pStyle w:val="Compact"/>
            </w:pPr>
            <w:r>
              <w:t xml:space="preserve">Detect abnormal churn and support release review.</w:t>
            </w:r>
          </w:p>
        </w:tc>
      </w:tr>
      <w:tr>
        <w:tc>
          <w:tcPr/>
          <w:p>
            <w:pPr>
              <w:pStyle w:val="Compact"/>
            </w:pPr>
            <w:r>
              <w:t xml:space="preserve">Severity escalations per release</w:t>
            </w:r>
          </w:p>
        </w:tc>
        <w:tc>
          <w:tcPr/>
          <w:p>
            <w:pPr>
              <w:pStyle w:val="Compact"/>
            </w:pPr>
            <w:r>
              <w:t xml:space="preserve">Route critical updates to clinical reviewers.</w:t>
            </w:r>
          </w:p>
        </w:tc>
      </w:tr>
      <w:tr>
        <w:tc>
          <w:tcPr/>
          <w:p>
            <w:pPr>
              <w:pStyle w:val="Compact"/>
            </w:pPr>
            <w:r>
              <w:t xml:space="preserve">False-positive and override rates</w:t>
            </w:r>
          </w:p>
        </w:tc>
        <w:tc>
          <w:tcPr/>
          <w:p>
            <w:pPr>
              <w:pStyle w:val="Compact"/>
            </w:pPr>
            <w:r>
              <w:t xml:space="preserve">Measure usefulness and calibration quality.</w:t>
            </w:r>
          </w:p>
        </w:tc>
      </w:tr>
      <w:tr>
        <w:tc>
          <w:tcPr/>
          <w:p>
            <w:pPr>
              <w:pStyle w:val="Compact"/>
            </w:pPr>
            <w:r>
              <w:t xml:space="preserve">Unknown drug or condition normalization rate</w:t>
            </w:r>
          </w:p>
        </w:tc>
        <w:tc>
          <w:tcPr/>
          <w:p>
            <w:pPr>
              <w:pStyle w:val="Compact"/>
            </w:pPr>
            <w:r>
              <w:t xml:space="preserve">Surface gaps in RxNorm, ICD, or local mapping logic.</w:t>
            </w:r>
          </w:p>
        </w:tc>
      </w:tr>
    </w:tbl>
    <w:bookmarkEnd w:id="65"/>
    <w:bookmarkStart w:id="66" w:name="governance-and-clinical-review"/>
    <w:p>
      <w:pPr>
        <w:pStyle w:val="Heading3"/>
      </w:pPr>
      <w:r>
        <w:t xml:space="preserve">Governance and clinical review</w:t>
      </w:r>
    </w:p>
    <w:p>
      <w:pPr>
        <w:pStyle w:val="FirstParagraph"/>
      </w:pPr>
      <w:r>
        <w:t xml:space="preserve">Governance is not optional. Because public sources differ in validation posture and legal/reuse conditions, you need a defined</w:t>
      </w:r>
      <w:r>
        <w:t xml:space="preserve"> </w:t>
      </w:r>
      <w:r>
        <w:rPr>
          <w:b/>
          <w:bCs/>
        </w:rPr>
        <w:t xml:space="preserve">clinical-review workflow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Owner</w:t>
            </w:r>
          </w:p>
        </w:tc>
        <w:tc>
          <w:tcPr/>
          <w:p>
            <w:pPr>
              <w:pStyle w:val="Compact"/>
            </w:pPr>
            <w:r>
              <w:t xml:space="preserve">Purpose</w:t>
            </w:r>
          </w:p>
        </w:tc>
      </w:tr>
      <w:tr>
        <w:tc>
          <w:tcPr/>
          <w:p>
            <w:pPr>
              <w:pStyle w:val="Compact"/>
            </w:pPr>
            <w:r>
              <w:rPr>
                <w:b/>
                <w:bCs/>
              </w:rPr>
              <w:t xml:space="preserve">Ingestion review</w:t>
            </w:r>
          </w:p>
        </w:tc>
        <w:tc>
          <w:tcPr/>
          <w:p>
            <w:pPr>
              <w:pStyle w:val="Compact"/>
            </w:pPr>
            <w:r>
              <w:t xml:space="preserve">Data engineering</w:t>
            </w:r>
          </w:p>
        </w:tc>
        <w:tc>
          <w:tcPr/>
          <w:p>
            <w:pPr>
              <w:pStyle w:val="Compact"/>
            </w:pPr>
            <w:r>
              <w:t xml:space="preserve">Verify schema integrity, fingerprints, and freshness.</w:t>
            </w:r>
          </w:p>
        </w:tc>
      </w:tr>
      <w:tr>
        <w:tc>
          <w:tcPr/>
          <w:p>
            <w:pPr>
              <w:pStyle w:val="Compact"/>
            </w:pPr>
            <w:r>
              <w:rPr>
                <w:b/>
                <w:bCs/>
              </w:rPr>
              <w:t xml:space="preserve">Candidate-rule review</w:t>
            </w:r>
          </w:p>
        </w:tc>
        <w:tc>
          <w:tcPr/>
          <w:p>
            <w:pPr>
              <w:pStyle w:val="Compact"/>
            </w:pPr>
            <w:r>
              <w:t xml:space="preserve">Clinical informatics or pharmacist reviewer</w:t>
            </w:r>
          </w:p>
        </w:tc>
        <w:tc>
          <w:tcPr/>
          <w:p>
            <w:pPr>
              <w:pStyle w:val="Compact"/>
            </w:pPr>
            <w:r>
              <w:t xml:space="preserve">Approve new contraindications, boxed-warning escalations, and high-severity interactions.</w:t>
            </w:r>
          </w:p>
        </w:tc>
      </w:tr>
      <w:tr>
        <w:tc>
          <w:tcPr/>
          <w:p>
            <w:pPr>
              <w:pStyle w:val="Compact"/>
            </w:pPr>
            <w:r>
              <w:rPr>
                <w:b/>
                <w:bCs/>
              </w:rPr>
              <w:t xml:space="preserve">Release review</w:t>
            </w:r>
          </w:p>
        </w:tc>
        <w:tc>
          <w:tcPr/>
          <w:p>
            <w:pPr>
              <w:pStyle w:val="Compact"/>
            </w:pPr>
            <w:r>
              <w:t xml:space="preserve">Governance lead</w:t>
            </w:r>
          </w:p>
        </w:tc>
        <w:tc>
          <w:tcPr/>
          <w:p>
            <w:pPr>
              <w:pStyle w:val="Compact"/>
            </w:pPr>
            <w:r>
              <w:t xml:space="preserve">Sign off on versioned rule bundles for production.</w:t>
            </w:r>
          </w:p>
        </w:tc>
      </w:tr>
      <w:tr>
        <w:tc>
          <w:tcPr/>
          <w:p>
            <w:pPr>
              <w:pStyle w:val="Compact"/>
            </w:pPr>
            <w:r>
              <w:rPr>
                <w:b/>
                <w:bCs/>
              </w:rPr>
              <w:t xml:space="preserve">Post-release feedback</w:t>
            </w:r>
          </w:p>
        </w:tc>
        <w:tc>
          <w:tcPr/>
          <w:p>
            <w:pPr>
              <w:pStyle w:val="Compact"/>
            </w:pPr>
            <w:r>
              <w:t xml:space="preserve">Clinical operations</w:t>
            </w:r>
          </w:p>
        </w:tc>
        <w:tc>
          <w:tcPr/>
          <w:p>
            <w:pPr>
              <w:pStyle w:val="Compact"/>
            </w:pPr>
            <w:r>
              <w:t xml:space="preserve">Triage false positives, missing rules, and disputes.</w:t>
            </w:r>
          </w:p>
        </w:tc>
      </w:tr>
      <w:tr>
        <w:tc>
          <w:tcPr/>
          <w:p>
            <w:pPr>
              <w:pStyle w:val="Compact"/>
            </w:pPr>
            <w:r>
              <w:rPr>
                <w:b/>
                <w:bCs/>
              </w:rPr>
              <w:t xml:space="preserve">Periodic retrospective review</w:t>
            </w:r>
          </w:p>
        </w:tc>
        <w:tc>
          <w:tcPr/>
          <w:p>
            <w:pPr>
              <w:pStyle w:val="Compact"/>
            </w:pPr>
            <w:r>
              <w:t xml:space="preserve">Safety committee</w:t>
            </w:r>
          </w:p>
        </w:tc>
        <w:tc>
          <w:tcPr/>
          <w:p>
            <w:pPr>
              <w:pStyle w:val="Compact"/>
            </w:pPr>
            <w:r>
              <w:t xml:space="preserve">Re-rank evidence tiers and retire stale or low-value rules.</w:t>
            </w:r>
          </w:p>
        </w:tc>
      </w:tr>
    </w:tbl>
    <w:p>
      <w:pPr>
        <w:pStyle w:val="BodyText"/>
      </w:pPr>
      <w:r>
        <w:t xml:space="preserve">That workflow is especially warranted because DailyMed and openFDA both warn that label content may not exactly match the most current FDA-approved or distributed labeling, and because openFDA is explicit that not all data are validated for clinical or production use.</w:t>
      </w:r>
      <w:r>
        <w:t xml:space="preserve"> </w:t>
      </w:r>
      <w:hyperlink r:id="rId21">
        <w:r>
          <w:rPr>
            <w:rStyle w:val="Hyperlink"/>
          </w:rPr>
          <w:t xml:space="preserve">[49]</w:t>
        </w:r>
      </w:hyperlink>
    </w:p>
    <w:bookmarkEnd w:id="66"/>
    <w:bookmarkStart w:id="67" w:name="prioritized-implementation-roadmap"/>
    <w:p>
      <w:pPr>
        <w:pStyle w:val="Heading3"/>
      </w:pPr>
      <w:r>
        <w:t xml:space="preserve">Prioritized implementation roadmap</w:t>
      </w:r>
    </w:p>
    <w:p>
      <w:pPr>
        <w:pStyle w:val="FirstParagraph"/>
      </w:pPr>
      <w:r>
        <w:t xml:space="preserve">The roadmap below assumes a small cross-functional team with one backend engineer, one data engineer, one frontend engineer, and part-time clinical reviewer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Scope</w:t>
            </w:r>
          </w:p>
        </w:tc>
        <w:tc>
          <w:tcPr/>
          <w:p>
            <w:pPr>
              <w:pStyle w:val="Compact"/>
              <w:jc w:val="right"/>
            </w:pPr>
            <w:r>
              <w:t xml:space="preserve">Estimated effort</w:t>
            </w:r>
          </w:p>
        </w:tc>
        <w:tc>
          <w:tcPr/>
          <w:p>
            <w:pPr>
              <w:pStyle w:val="Compact"/>
            </w:pPr>
            <w:r>
              <w:t xml:space="preserve">Milestone</w:t>
            </w:r>
          </w:p>
        </w:tc>
      </w:tr>
      <w:tr>
        <w:tc>
          <w:tcPr/>
          <w:p>
            <w:pPr>
              <w:pStyle w:val="Compact"/>
            </w:pPr>
            <w:r>
              <w:rPr>
                <w:b/>
                <w:bCs/>
              </w:rPr>
              <w:t xml:space="preserve">Foundation</w:t>
            </w:r>
          </w:p>
        </w:tc>
        <w:tc>
          <w:tcPr/>
          <w:p>
            <w:pPr>
              <w:pStyle w:val="Compact"/>
            </w:pPr>
            <w:r>
              <w:t xml:space="preserve">Core schema, source registry, raw snapshot store, DailyMed ingestion, openFDA label/NDC/Drugs@FDA ingestion, RxNorm normalization</w:t>
            </w:r>
          </w:p>
        </w:tc>
        <w:tc>
          <w:tcPr/>
          <w:p>
            <w:pPr>
              <w:pStyle w:val="Compact"/>
              <w:jc w:val="right"/>
            </w:pPr>
            <w:r>
              <w:t xml:space="preserve">3–5 weeks</w:t>
            </w:r>
          </w:p>
        </w:tc>
        <w:tc>
          <w:tcPr/>
          <w:p>
            <w:pPr>
              <w:pStyle w:val="Compact"/>
            </w:pPr>
            <w:r>
              <w:t xml:space="preserve">Working internal data pipeline for U.S. product and label data</w:t>
            </w:r>
          </w:p>
        </w:tc>
      </w:tr>
      <w:tr>
        <w:tc>
          <w:tcPr/>
          <w:p>
            <w:pPr>
              <w:pStyle w:val="Compact"/>
            </w:pPr>
            <w:r>
              <w:rPr>
                <w:b/>
                <w:bCs/>
              </w:rPr>
              <w:t xml:space="preserve">Clinical rule core</w:t>
            </w:r>
          </w:p>
        </w:tc>
        <w:tc>
          <w:tcPr/>
          <w:p>
            <w:pPr>
              <w:pStyle w:val="Compact"/>
            </w:pPr>
            <w:r>
              <w:t xml:space="preserve">Contraindications, boxed warnings, labeled interactions, age and route qualifiers, evidence model, clinician review queue</w:t>
            </w:r>
          </w:p>
        </w:tc>
        <w:tc>
          <w:tcPr/>
          <w:p>
            <w:pPr>
              <w:pStyle w:val="Compact"/>
              <w:jc w:val="right"/>
            </w:pPr>
            <w:r>
              <w:t xml:space="preserve">4–6 weeks</w:t>
            </w:r>
          </w:p>
        </w:tc>
        <w:tc>
          <w:tcPr/>
          <w:p>
            <w:pPr>
              <w:pStyle w:val="Compact"/>
            </w:pPr>
            <w:r>
              <w:t xml:space="preserve">First usable knowledge service with explainable source-backed findings</w:t>
            </w:r>
          </w:p>
        </w:tc>
      </w:tr>
      <w:tr>
        <w:tc>
          <w:tcPr/>
          <w:p>
            <w:pPr>
              <w:pStyle w:val="Compact"/>
            </w:pPr>
            <w:r>
              <w:rPr>
                <w:b/>
                <w:bCs/>
              </w:rPr>
              <w:t xml:space="preserve">Condition layer</w:t>
            </w:r>
          </w:p>
        </w:tc>
        <w:tc>
          <w:tcPr/>
          <w:p>
            <w:pPr>
              <w:pStyle w:val="Compact"/>
            </w:pPr>
            <w:r>
              <w:t xml:space="preserve">ICD-11 integration, optional SNOMED pathway, comorbidity-rule modeling, runtime risk-profile engine</w:t>
            </w:r>
          </w:p>
        </w:tc>
        <w:tc>
          <w:tcPr/>
          <w:p>
            <w:pPr>
              <w:pStyle w:val="Compact"/>
              <w:jc w:val="right"/>
            </w:pPr>
            <w:r>
              <w:t xml:space="preserve">3–5 weeks</w:t>
            </w:r>
          </w:p>
        </w:tc>
        <w:tc>
          <w:tcPr/>
          <w:p>
            <w:pPr>
              <w:pStyle w:val="Compact"/>
            </w:pPr>
            <w:r>
              <w:t xml:space="preserve">Condition-aware risk checks across age, comorbidity, and active meds</w:t>
            </w:r>
          </w:p>
        </w:tc>
      </w:tr>
      <w:tr>
        <w:tc>
          <w:tcPr/>
          <w:p>
            <w:pPr>
              <w:pStyle w:val="Compact"/>
            </w:pPr>
            <w:r>
              <w:rPr>
                <w:b/>
                <w:bCs/>
              </w:rPr>
              <w:t xml:space="preserve">International enrichment</w:t>
            </w:r>
          </w:p>
        </w:tc>
        <w:tc>
          <w:tcPr/>
          <w:p>
            <w:pPr>
              <w:pStyle w:val="Compact"/>
            </w:pPr>
            <w:r>
              <w:t xml:space="preserve">EMA JSON/ePI, NHS patient-facing content, WHO EML/ATC augmentation, guideline connectors</w:t>
            </w:r>
          </w:p>
        </w:tc>
        <w:tc>
          <w:tcPr/>
          <w:p>
            <w:pPr>
              <w:pStyle w:val="Compact"/>
              <w:jc w:val="right"/>
            </w:pPr>
            <w:r>
              <w:t xml:space="preserve">3–4 weeks</w:t>
            </w:r>
          </w:p>
        </w:tc>
        <w:tc>
          <w:tcPr/>
          <w:p>
            <w:pPr>
              <w:pStyle w:val="Compact"/>
            </w:pPr>
            <w:r>
              <w:t xml:space="preserve">U.S./EU/international augmentation live</w:t>
            </w:r>
          </w:p>
        </w:tc>
      </w:tr>
      <w:tr>
        <w:tc>
          <w:tcPr/>
          <w:p>
            <w:pPr>
              <w:pStyle w:val="Compact"/>
            </w:pPr>
            <w:r>
              <w:rPr>
                <w:b/>
                <w:bCs/>
              </w:rPr>
              <w:t xml:space="preserve">Operational hardening</w:t>
            </w:r>
          </w:p>
        </w:tc>
        <w:tc>
          <w:tcPr/>
          <w:p>
            <w:pPr>
              <w:pStyle w:val="Compact"/>
            </w:pPr>
            <w:r>
              <w:t xml:space="preserve">Change detection, alerting, dashboards, audit trails, feedback loop, release workflow, performance tuning</w:t>
            </w:r>
          </w:p>
        </w:tc>
        <w:tc>
          <w:tcPr/>
          <w:p>
            <w:pPr>
              <w:pStyle w:val="Compact"/>
              <w:jc w:val="right"/>
            </w:pPr>
            <w:r>
              <w:t xml:space="preserve">3–4 weeks</w:t>
            </w:r>
          </w:p>
        </w:tc>
        <w:tc>
          <w:tcPr/>
          <w:p>
            <w:pPr>
              <w:pStyle w:val="Compact"/>
            </w:pPr>
            <w:r>
              <w:t xml:space="preserve">Production-ready governed release process</w:t>
            </w:r>
          </w:p>
        </w:tc>
      </w:tr>
    </w:tbl>
    <w:p>
      <w:pPr>
        <w:pStyle w:val="BodyText"/>
      </w:pPr>
      <w:r>
        <w:t xml:space="preserve">A realistic initial production target is therefore</w:t>
      </w:r>
      <w:r>
        <w:t xml:space="preserve"> </w:t>
      </w:r>
      <w:r>
        <w:rPr>
          <w:b/>
          <w:bCs/>
        </w:rPr>
        <w:t xml:space="preserve">about 13–24 engineering weeks</w:t>
      </w:r>
      <w:r>
        <w:t xml:space="preserve">, depending on how aggressively you want to support guideline ingestion, patient-facing UX, local source mirrors, and clinical review automation.</w:t>
      </w:r>
    </w:p>
    <w:bookmarkEnd w:id="67"/>
    <w:bookmarkEnd w:id="68"/>
    <w:bookmarkStart w:id="69" w:name="limitations-and-open-questions"/>
    <w:p>
      <w:pPr>
        <w:pStyle w:val="Heading2"/>
      </w:pPr>
      <w:r>
        <w:t xml:space="preserve">Limitations and open questions</w:t>
      </w:r>
    </w:p>
    <w:p>
      <w:pPr>
        <w:pStyle w:val="FirstParagraph"/>
      </w:pPr>
      <w:r>
        <w:t xml:space="preserve">The largest limitation is still</w:t>
      </w:r>
      <w:r>
        <w:t xml:space="preserve"> </w:t>
      </w:r>
      <w:r>
        <w:rPr>
          <w:b/>
          <w:bCs/>
        </w:rPr>
        <w:t xml:space="preserve">public interaction completeness</w:t>
      </w:r>
      <w:r>
        <w:t xml:space="preserve">. Because RxNav’s public interaction API is gone, a public-source-only service is best positioned to deliver</w:t>
      </w:r>
      <w:r>
        <w:t xml:space="preserve"> </w:t>
      </w:r>
      <w:r>
        <w:rPr>
          <w:b/>
          <w:bCs/>
        </w:rPr>
        <w:t xml:space="preserve">high-confidence labeled interactions and condition-based medication risks</w:t>
      </w:r>
      <w:r>
        <w:t xml:space="preserve">, not a universal pairwise DDI product. If broad DDI coverage becomes a hard requirement, that is the clearest decision point for adding a commercial interaction knowledge base or a substantial internal curation program.</w:t>
      </w:r>
      <w:r>
        <w:t xml:space="preserve"> </w:t>
      </w:r>
      <w:hyperlink r:id="rId22">
        <w:r>
          <w:rPr>
            <w:rStyle w:val="Hyperlink"/>
          </w:rPr>
          <w:t xml:space="preserve">[50]</w:t>
        </w:r>
      </w:hyperlink>
    </w:p>
    <w:p>
      <w:pPr>
        <w:pStyle w:val="BodyText"/>
      </w:pPr>
      <w:r>
        <w:t xml:space="preserve">A second limitation is</w:t>
      </w:r>
      <w:r>
        <w:t xml:space="preserve"> </w:t>
      </w:r>
      <w:r>
        <w:rPr>
          <w:b/>
          <w:bCs/>
        </w:rPr>
        <w:t xml:space="preserve">licensing heterogeneity</w:t>
      </w:r>
      <w:r>
        <w:t xml:space="preserve">. openFDA is unusually permissive, but SNOMED CT, NICE, and some WHO materials are not. If your organization insists on strict public-domain-only inputs, you will have to exclude some otherwise useful official sources or confine them to metadata, links, or jurisdiction-specific deployments.</w:t>
      </w:r>
      <w:r>
        <w:t xml:space="preserve"> </w:t>
      </w:r>
      <w:hyperlink r:id="rId23">
        <w:r>
          <w:rPr>
            <w:rStyle w:val="Hyperlink"/>
          </w:rPr>
          <w:t xml:space="preserve">[51]</w:t>
        </w:r>
      </w:hyperlink>
    </w:p>
    <w:p>
      <w:pPr>
        <w:pStyle w:val="BodyText"/>
      </w:pPr>
      <w:r>
        <w:t xml:space="preserve">A third limitation is that public regulatory sources are</w:t>
      </w:r>
      <w:r>
        <w:t xml:space="preserve"> </w:t>
      </w:r>
      <w:r>
        <w:rPr>
          <w:b/>
          <w:bCs/>
        </w:rPr>
        <w:t xml:space="preserve">jurisdiction-specific</w:t>
      </w:r>
      <w:r>
        <w:t xml:space="preserve">. DailyMed and openFDA are U.S.-centric; EMA covers centrally authorised EU medicines and public regulatory content, not every national market; NHS is patient-facing UK content; WHO resources are international but not product-label-complete. For a fully international product, you will eventually need national augmentations beyond the sources covered here.</w:t>
      </w:r>
      <w:r>
        <w:t xml:space="preserve"> </w:t>
      </w:r>
      <w:hyperlink r:id="rId21">
        <w:r>
          <w:rPr>
            <w:rStyle w:val="Hyperlink"/>
          </w:rPr>
          <w:t xml:space="preserve">[52]</w:t>
        </w:r>
      </w:hyperlink>
    </w:p>
    <w:p>
      <w:pPr>
        <w:pStyle w:val="BodyText"/>
      </w:pPr>
      <w:r>
        <w:t xml:space="preserve">The final open question is</w:t>
      </w:r>
      <w:r>
        <w:t xml:space="preserve"> </w:t>
      </w:r>
      <w:r>
        <w:rPr>
          <w:b/>
          <w:bCs/>
        </w:rPr>
        <w:t xml:space="preserve">how far to automate alternatives and dosing advice</w:t>
      </w:r>
      <w:r>
        <w:t xml:space="preserve">. Public labels and guidelines can support structured notes, but they rarely provide a universally safe, indication-aware substitution engine. In most real deployments, “alternatives” should therefore be a</w:t>
      </w:r>
      <w:r>
        <w:t xml:space="preserve"> </w:t>
      </w:r>
      <w:r>
        <w:rPr>
          <w:b/>
          <w:bCs/>
        </w:rPr>
        <w:t xml:space="preserve">clinician-reviewed, indication-scoped advisory layer</w:t>
      </w:r>
      <w:r>
        <w:t xml:space="preserve">, not a fully automated substitution system. That is not a failure of the architecture; it is a realistic boundary that keeps the service trustworthy.</w:t>
      </w:r>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[25]</w:t>
        </w:r>
      </w:hyperlink>
      <w:r>
        <w:t xml:space="preserve"> </w:t>
      </w:r>
      <w:hyperlink r:id="rId21">
        <w:r>
          <w:rPr>
            <w:rStyle w:val="Hyperlink"/>
          </w:rPr>
          <w:t xml:space="preserve">[28]</w:t>
        </w:r>
      </w:hyperlink>
      <w:r>
        <w:t xml:space="preserve"> </w:t>
      </w:r>
      <w:hyperlink r:id="rId21">
        <w:r>
          <w:rPr>
            <w:rStyle w:val="Hyperlink"/>
          </w:rPr>
          <w:t xml:space="preserve">[36]</w:t>
        </w:r>
      </w:hyperlink>
      <w:r>
        <w:t xml:space="preserve"> </w:t>
      </w:r>
      <w:hyperlink r:id="rId21">
        <w:r>
          <w:rPr>
            <w:rStyle w:val="Hyperlink"/>
          </w:rPr>
          <w:t xml:space="preserve">[38]</w:t>
        </w:r>
      </w:hyperlink>
      <w:r>
        <w:t xml:space="preserve"> </w:t>
      </w:r>
      <w:hyperlink r:id="rId21">
        <w:r>
          <w:rPr>
            <w:rStyle w:val="Hyperlink"/>
          </w:rPr>
          <w:t xml:space="preserve">[49]</w:t>
        </w:r>
      </w:hyperlink>
      <w:r>
        <w:t xml:space="preserve"> </w:t>
      </w:r>
      <w:hyperlink r:id="rId21">
        <w:r>
          <w:rPr>
            <w:rStyle w:val="Hyperlink"/>
          </w:rPr>
          <w:t xml:space="preserve">[52]</w:t>
        </w:r>
      </w:hyperlink>
      <w:r>
        <w:t xml:space="preserve"> </w:t>
      </w:r>
      <w:r>
        <w:t xml:space="preserve">https://dailymed.nlm.nih.gov/dailymed/about-dailymed.cfm</w:t>
      </w:r>
    </w:p>
    <w:p>
      <w:pPr>
        <w:pStyle w:val="BodyText"/>
      </w:pPr>
      <w:hyperlink r:id="rId21">
        <w:r>
          <w:rPr>
            <w:rStyle w:val="Hyperlink"/>
          </w:rPr>
          <w:t xml:space="preserve">https://dailymed.nlm.nih.gov/dailymed/about-dailymed.cfm</w:t>
        </w:r>
      </w:hyperlink>
    </w:p>
    <w:p>
      <w:pPr>
        <w:pStyle w:val="BodyText"/>
      </w:pPr>
      <w:hyperlink r:id="rId22">
        <w:r>
          <w:rPr>
            <w:rStyle w:val="Hyperlink"/>
          </w:rPr>
          <w:t xml:space="preserve">[2]</w:t>
        </w:r>
      </w:hyperlink>
      <w:r>
        <w:t xml:space="preserve"> </w:t>
      </w:r>
      <w:hyperlink r:id="rId22">
        <w:r>
          <w:rPr>
            <w:rStyle w:val="Hyperlink"/>
          </w:rPr>
          <w:t xml:space="preserve">[37]</w:t>
        </w:r>
      </w:hyperlink>
      <w:r>
        <w:t xml:space="preserve"> </w:t>
      </w:r>
      <w:hyperlink r:id="rId22">
        <w:r>
          <w:rPr>
            <w:rStyle w:val="Hyperlink"/>
          </w:rPr>
          <w:t xml:space="preserve">[41]</w:t>
        </w:r>
      </w:hyperlink>
      <w:r>
        <w:t xml:space="preserve"> </w:t>
      </w:r>
      <w:hyperlink r:id="rId22">
        <w:r>
          <w:rPr>
            <w:rStyle w:val="Hyperlink"/>
          </w:rPr>
          <w:t xml:space="preserve">[50]</w:t>
        </w:r>
      </w:hyperlink>
      <w:r>
        <w:t xml:space="preserve"> </w:t>
      </w:r>
      <w:r>
        <w:t xml:space="preserve">https://lhncbc.nlm.nih.gov/RxNav/</w:t>
      </w:r>
    </w:p>
    <w:p>
      <w:pPr>
        <w:pStyle w:val="BodyText"/>
      </w:pPr>
      <w:hyperlink r:id="rId22">
        <w:r>
          <w:rPr>
            <w:rStyle w:val="Hyperlink"/>
          </w:rPr>
          <w:t xml:space="preserve">https://lhncbc.nlm.nih.gov/RxNav/</w:t>
        </w:r>
      </w:hyperlink>
    </w:p>
    <w:p>
      <w:pPr>
        <w:pStyle w:val="BodyText"/>
      </w:pPr>
      <w:hyperlink r:id="rId23">
        <w:r>
          <w:rPr>
            <w:rStyle w:val="Hyperlink"/>
          </w:rPr>
          <w:t xml:space="preserve">[3]</w:t>
        </w:r>
      </w:hyperlink>
      <w:r>
        <w:t xml:space="preserve"> </w:t>
      </w:r>
      <w:hyperlink r:id="rId23">
        <w:r>
          <w:rPr>
            <w:rStyle w:val="Hyperlink"/>
          </w:rPr>
          <w:t xml:space="preserve">[51]</w:t>
        </w:r>
      </w:hyperlink>
      <w:r>
        <w:t xml:space="preserve"> </w:t>
      </w:r>
      <w:r>
        <w:t xml:space="preserve">https://open.fda.gov/license/</w:t>
      </w:r>
    </w:p>
    <w:p>
      <w:pPr>
        <w:pStyle w:val="BodyText"/>
      </w:pPr>
      <w:hyperlink r:id="rId23">
        <w:r>
          <w:rPr>
            <w:rStyle w:val="Hyperlink"/>
          </w:rPr>
          <w:t xml:space="preserve">https://open.fda.gov/license/</w:t>
        </w:r>
      </w:hyperlink>
    </w:p>
    <w:p>
      <w:pPr>
        <w:pStyle w:val="BodyText"/>
      </w:pPr>
      <w:hyperlink r:id="rId26">
        <w:r>
          <w:rPr>
            <w:rStyle w:val="Hyperlink"/>
          </w:rPr>
          <w:t xml:space="preserve">[10]</w:t>
        </w:r>
      </w:hyperlink>
      <w:r>
        <w:t xml:space="preserve"> </w:t>
      </w:r>
      <w:hyperlink r:id="rId26">
        <w:r>
          <w:rPr>
            <w:rStyle w:val="Hyperlink"/>
          </w:rPr>
          <w:t xml:space="preserve">[40]</w:t>
        </w:r>
      </w:hyperlink>
      <w:r>
        <w:t xml:space="preserve"> </w:t>
      </w:r>
      <w:hyperlink r:id="rId26">
        <w:r>
          <w:rPr>
            <w:rStyle w:val="Hyperlink"/>
          </w:rPr>
          <w:t xml:space="preserve">[46]</w:t>
        </w:r>
      </w:hyperlink>
      <w:r>
        <w:t xml:space="preserve"> </w:t>
      </w:r>
      <w:r>
        <w:t xml:space="preserve">https://open.fda.gov/apis/drug/label/</w:t>
      </w:r>
    </w:p>
    <w:p>
      <w:pPr>
        <w:pStyle w:val="BodyText"/>
      </w:pPr>
      <w:hyperlink r:id="rId26">
        <w:r>
          <w:rPr>
            <w:rStyle w:val="Hyperlink"/>
          </w:rPr>
          <w:t xml:space="preserve">https://open.fda.gov/apis/drug/label/</w:t>
        </w:r>
      </w:hyperlink>
    </w:p>
    <w:p>
      <w:pPr>
        <w:pStyle w:val="BodyText"/>
      </w:pPr>
      <w:hyperlink r:id="rId27">
        <w:r>
          <w:rPr>
            <w:rStyle w:val="Hyperlink"/>
          </w:rPr>
          <w:t xml:space="preserve">[11]</w:t>
        </w:r>
      </w:hyperlink>
      <w:r>
        <w:t xml:space="preserve"> </w:t>
      </w:r>
      <w:r>
        <w:t xml:space="preserve">https://open.fda.gov/apis/drug/ndc/</w:t>
      </w:r>
    </w:p>
    <w:p>
      <w:pPr>
        <w:pStyle w:val="BodyText"/>
      </w:pPr>
      <w:hyperlink r:id="rId27">
        <w:r>
          <w:rPr>
            <w:rStyle w:val="Hyperlink"/>
          </w:rPr>
          <w:t xml:space="preserve">https://open.fda.gov/apis/drug/ndc/</w:t>
        </w:r>
      </w:hyperlink>
    </w:p>
    <w:p>
      <w:pPr>
        <w:pStyle w:val="BodyText"/>
      </w:pPr>
      <w:hyperlink r:id="rId28">
        <w:r>
          <w:rPr>
            <w:rStyle w:val="Hyperlink"/>
          </w:rPr>
          <w:t xml:space="preserve">[12]</w:t>
        </w:r>
      </w:hyperlink>
      <w:r>
        <w:t xml:space="preserve"> </w:t>
      </w:r>
      <w:hyperlink r:id="rId28">
        <w:r>
          <w:rPr>
            <w:rStyle w:val="Hyperlink"/>
          </w:rPr>
          <w:t xml:space="preserve">[42]</w:t>
        </w:r>
      </w:hyperlink>
      <w:r>
        <w:t xml:space="preserve"> </w:t>
      </w:r>
      <w:r>
        <w:t xml:space="preserve">https://open.fda.gov/apis/drug/event/</w:t>
      </w:r>
    </w:p>
    <w:p>
      <w:pPr>
        <w:pStyle w:val="BodyText"/>
      </w:pPr>
      <w:hyperlink r:id="rId28">
        <w:r>
          <w:rPr>
            <w:rStyle w:val="Hyperlink"/>
          </w:rPr>
          <w:t xml:space="preserve">https://open.fda.gov/apis/drug/event/</w:t>
        </w:r>
      </w:hyperlink>
    </w:p>
    <w:p>
      <w:pPr>
        <w:pStyle w:val="BodyText"/>
      </w:pPr>
      <w:hyperlink r:id="rId29">
        <w:r>
          <w:rPr>
            <w:rStyle w:val="Hyperlink"/>
          </w:rPr>
          <w:t xml:space="preserve">[13]</w:t>
        </w:r>
      </w:hyperlink>
      <w:r>
        <w:t xml:space="preserve"> </w:t>
      </w:r>
      <w:r>
        <w:t xml:space="preserve">https://open.fda.gov/apis/drug/drugsfda/</w:t>
      </w:r>
    </w:p>
    <w:p>
      <w:pPr>
        <w:pStyle w:val="BodyText"/>
      </w:pPr>
      <w:hyperlink r:id="rId29">
        <w:r>
          <w:rPr>
            <w:rStyle w:val="Hyperlink"/>
          </w:rPr>
          <w:t xml:space="preserve">https://open.fda.gov/apis/drug/drugsfda/</w:t>
        </w:r>
      </w:hyperlink>
    </w:p>
    <w:p>
      <w:pPr>
        <w:pStyle w:val="BodyText"/>
      </w:pPr>
      <w:hyperlink r:id="rId30">
        <w:r>
          <w:rPr>
            <w:rStyle w:val="Hyperlink"/>
          </w:rPr>
          <w:t xml:space="preserve">[14]</w:t>
        </w:r>
      </w:hyperlink>
      <w:r>
        <w:t xml:space="preserve"> </w:t>
      </w:r>
      <w:hyperlink r:id="rId30">
        <w:r>
          <w:rPr>
            <w:rStyle w:val="Hyperlink"/>
          </w:rPr>
          <w:t xml:space="preserve">[26]</w:t>
        </w:r>
      </w:hyperlink>
      <w:r>
        <w:t xml:space="preserve"> </w:t>
      </w:r>
      <w:hyperlink r:id="rId30">
        <w:r>
          <w:rPr>
            <w:rStyle w:val="Hyperlink"/>
          </w:rPr>
          <w:t xml:space="preserve">[32]</w:t>
        </w:r>
      </w:hyperlink>
      <w:r>
        <w:t xml:space="preserve"> </w:t>
      </w:r>
      <w:r>
        <w:t xml:space="preserve">https://lhncbc.nlm.nih.gov/RxNav/APIs/RxNormAPIs.html</w:t>
      </w:r>
    </w:p>
    <w:p>
      <w:pPr>
        <w:pStyle w:val="BodyText"/>
      </w:pPr>
      <w:hyperlink r:id="rId30">
        <w:r>
          <w:rPr>
            <w:rStyle w:val="Hyperlink"/>
          </w:rPr>
          <w:t xml:space="preserve">https://lhncbc.nlm.nih.gov/RxNav/APIs/RxNormAPIs.html</w:t>
        </w:r>
      </w:hyperlink>
    </w:p>
    <w:p>
      <w:pPr>
        <w:pStyle w:val="BodyText"/>
      </w:pPr>
      <w:hyperlink r:id="rId31">
        <w:r>
          <w:rPr>
            <w:rStyle w:val="Hyperlink"/>
          </w:rPr>
          <w:t xml:space="preserve">[15]</w:t>
        </w:r>
      </w:hyperlink>
      <w:r>
        <w:t xml:space="preserve"> </w:t>
      </w:r>
      <w:hyperlink r:id="rId31">
        <w:r>
          <w:rPr>
            <w:rStyle w:val="Hyperlink"/>
          </w:rPr>
          <w:t xml:space="preserve">[33]</w:t>
        </w:r>
      </w:hyperlink>
      <w:r>
        <w:t xml:space="preserve"> </w:t>
      </w:r>
      <w:r>
        <w:t xml:space="preserve">https://lhncbc.nlm.nih.gov/RxNav/APIs/RxClassAPIs.html</w:t>
      </w:r>
    </w:p>
    <w:p>
      <w:pPr>
        <w:pStyle w:val="BodyText"/>
      </w:pPr>
      <w:hyperlink r:id="rId31">
        <w:r>
          <w:rPr>
            <w:rStyle w:val="Hyperlink"/>
          </w:rPr>
          <w:t xml:space="preserve">https://lhncbc.nlm.nih.gov/RxNav/APIs/RxClassAPIs.html</w:t>
        </w:r>
      </w:hyperlink>
    </w:p>
    <w:p>
      <w:pPr>
        <w:pStyle w:val="BodyText"/>
      </w:pPr>
      <w:hyperlink r:id="rId32">
        <w:r>
          <w:rPr>
            <w:rStyle w:val="Hyperlink"/>
          </w:rPr>
          <w:t xml:space="preserve">[16]</w:t>
        </w:r>
      </w:hyperlink>
      <w:r>
        <w:t xml:space="preserve"> </w:t>
      </w:r>
      <w:hyperlink r:id="rId32">
        <w:r>
          <w:rPr>
            <w:rStyle w:val="Hyperlink"/>
          </w:rPr>
          <w:t xml:space="preserve">[24]</w:t>
        </w:r>
      </w:hyperlink>
      <w:r>
        <w:t xml:space="preserve"> </w:t>
      </w:r>
      <w:r>
        <w:t xml:space="preserve">https://www.ema.europa.eu/en/about-us/about-website/download-website-data-json-data-format</w:t>
      </w:r>
    </w:p>
    <w:p>
      <w:pPr>
        <w:pStyle w:val="BodyText"/>
      </w:pPr>
      <w:hyperlink r:id="rId32">
        <w:r>
          <w:rPr>
            <w:rStyle w:val="Hyperlink"/>
          </w:rPr>
          <w:t xml:space="preserve">https://www.ema.europa.eu/en/about-us/about-website/download-website-data-json-data-format</w:t>
        </w:r>
      </w:hyperlink>
    </w:p>
    <w:p>
      <w:pPr>
        <w:pStyle w:val="BodyText"/>
      </w:pPr>
      <w:hyperlink r:id="rId33">
        <w:r>
          <w:rPr>
            <w:rStyle w:val="Hyperlink"/>
          </w:rPr>
          <w:t xml:space="preserve">[17]</w:t>
        </w:r>
      </w:hyperlink>
      <w:r>
        <w:t xml:space="preserve"> </w:t>
      </w:r>
      <w:r>
        <w:t xml:space="preserve">https://digital.nhs.uk/developer/api-catalogue/nhs-website-content/v2</w:t>
      </w:r>
    </w:p>
    <w:p>
      <w:pPr>
        <w:pStyle w:val="BodyText"/>
      </w:pPr>
      <w:hyperlink r:id="rId33">
        <w:r>
          <w:rPr>
            <w:rStyle w:val="Hyperlink"/>
          </w:rPr>
          <w:t xml:space="preserve">https://digital.nhs.uk/developer/api-catalogue/nhs-website-content/v2</w:t>
        </w:r>
      </w:hyperlink>
    </w:p>
    <w:p>
      <w:pPr>
        <w:pStyle w:val="BodyText"/>
      </w:pPr>
      <w:hyperlink r:id="rId34">
        <w:r>
          <w:rPr>
            <w:rStyle w:val="Hyperlink"/>
          </w:rPr>
          <w:t xml:space="preserve">[18]</w:t>
        </w:r>
      </w:hyperlink>
      <w:r>
        <w:t xml:space="preserve"> </w:t>
      </w:r>
      <w:hyperlink r:id="rId34">
        <w:r>
          <w:rPr>
            <w:rStyle w:val="Hyperlink"/>
          </w:rPr>
          <w:t xml:space="preserve">[43]</w:t>
        </w:r>
      </w:hyperlink>
      <w:r>
        <w:t xml:space="preserve"> </w:t>
      </w:r>
      <w:r>
        <w:t xml:space="preserve">https://www.who.int/groups/expert-committee-on-selection-and-use-of-essential-medicines/essential-medicines-lists</w:t>
      </w:r>
    </w:p>
    <w:p>
      <w:pPr>
        <w:pStyle w:val="BodyText"/>
      </w:pPr>
      <w:hyperlink r:id="rId34">
        <w:r>
          <w:rPr>
            <w:rStyle w:val="Hyperlink"/>
          </w:rPr>
          <w:t xml:space="preserve">https://www.who.int/groups/expert-committee-on-selection-and-use-of-essential-medicines/essential-medicines-lists</w:t>
        </w:r>
      </w:hyperlink>
    </w:p>
    <w:p>
      <w:pPr>
        <w:pStyle w:val="BodyText"/>
      </w:pPr>
      <w:hyperlink r:id="rId36">
        <w:r>
          <w:rPr>
            <w:rStyle w:val="Hyperlink"/>
          </w:rPr>
          <w:t xml:space="preserve">[19]</w:t>
        </w:r>
      </w:hyperlink>
      <w:r>
        <w:t xml:space="preserve"> </w:t>
      </w:r>
      <w:hyperlink r:id="rId36">
        <w:r>
          <w:rPr>
            <w:rStyle w:val="Hyperlink"/>
          </w:rPr>
          <w:t xml:space="preserve">[34]</w:t>
        </w:r>
      </w:hyperlink>
      <w:r>
        <w:t xml:space="preserve"> </w:t>
      </w:r>
      <w:r>
        <w:t xml:space="preserve">https://icd.who.int/icdapi</w:t>
      </w:r>
    </w:p>
    <w:p>
      <w:pPr>
        <w:pStyle w:val="BodyText"/>
      </w:pPr>
      <w:hyperlink r:id="rId36">
        <w:r>
          <w:rPr>
            <w:rStyle w:val="Hyperlink"/>
          </w:rPr>
          <w:t xml:space="preserve">https://icd.who.int/icdapi</w:t>
        </w:r>
      </w:hyperlink>
    </w:p>
    <w:p>
      <w:pPr>
        <w:pStyle w:val="BodyText"/>
      </w:pPr>
      <w:hyperlink r:id="rId37">
        <w:r>
          <w:rPr>
            <w:rStyle w:val="Hyperlink"/>
          </w:rPr>
          <w:t xml:space="preserve">[20]</w:t>
        </w:r>
      </w:hyperlink>
      <w:r>
        <w:t xml:space="preserve"> </w:t>
      </w:r>
      <w:r>
        <w:t xml:space="preserve">https://docs.snomed.org/snomed-ct-practical-guides/snomed-ct-starter-guide/13-release-schedule-and-file-formats</w:t>
      </w:r>
    </w:p>
    <w:p>
      <w:pPr>
        <w:pStyle w:val="BodyText"/>
      </w:pPr>
      <w:hyperlink r:id="rId37">
        <w:r>
          <w:rPr>
            <w:rStyle w:val="Hyperlink"/>
          </w:rPr>
          <w:t xml:space="preserve">https://docs.snomed.org/snomed-ct-practical-guides/snomed-ct-starter-guide/13-release-schedule-and-file-formats</w:t>
        </w:r>
      </w:hyperlink>
    </w:p>
    <w:p>
      <w:pPr>
        <w:pStyle w:val="BodyText"/>
      </w:pPr>
      <w:hyperlink r:id="rId38">
        <w:r>
          <w:rPr>
            <w:rStyle w:val="Hyperlink"/>
          </w:rPr>
          <w:t xml:space="preserve">[21]</w:t>
        </w:r>
      </w:hyperlink>
      <w:r>
        <w:t xml:space="preserve"> </w:t>
      </w:r>
      <w:r>
        <w:t xml:space="preserve">https://pubmed.ncbi.nlm.nih.gov/about/</w:t>
      </w:r>
    </w:p>
    <w:p>
      <w:pPr>
        <w:pStyle w:val="BodyText"/>
      </w:pPr>
      <w:hyperlink r:id="rId38">
        <w:r>
          <w:rPr>
            <w:rStyle w:val="Hyperlink"/>
          </w:rPr>
          <w:t xml:space="preserve">https://pubmed.ncbi.nlm.nih.gov/about/</w:t>
        </w:r>
      </w:hyperlink>
    </w:p>
    <w:p>
      <w:pPr>
        <w:pStyle w:val="BodyText"/>
      </w:pPr>
      <w:hyperlink r:id="rId39">
        <w:r>
          <w:rPr>
            <w:rStyle w:val="Hyperlink"/>
          </w:rPr>
          <w:t xml:space="preserve">[22]</w:t>
        </w:r>
      </w:hyperlink>
      <w:r>
        <w:t xml:space="preserve"> </w:t>
      </w:r>
      <w:r>
        <w:t xml:space="preserve">https://www.ncbi.nlm.nih.gov/pmc///tools/openftlist/</w:t>
      </w:r>
    </w:p>
    <w:p>
      <w:pPr>
        <w:pStyle w:val="BodyText"/>
      </w:pPr>
      <w:hyperlink r:id="rId39">
        <w:r>
          <w:rPr>
            <w:rStyle w:val="Hyperlink"/>
          </w:rPr>
          <w:t xml:space="preserve">https://www.ncbi.nlm.nih.gov/pmc///tools/openftlist/</w:t>
        </w:r>
      </w:hyperlink>
    </w:p>
    <w:p>
      <w:pPr>
        <w:pStyle w:val="BodyText"/>
      </w:pPr>
      <w:hyperlink r:id="rId40">
        <w:r>
          <w:rPr>
            <w:rStyle w:val="Hyperlink"/>
          </w:rPr>
          <w:t xml:space="preserve">[23]</w:t>
        </w:r>
      </w:hyperlink>
      <w:r>
        <w:t xml:space="preserve"> </w:t>
      </w:r>
      <w:r>
        <w:t xml:space="preserve">https://www.nice.org.uk/corporate/ecd10</w:t>
      </w:r>
    </w:p>
    <w:p>
      <w:pPr>
        <w:pStyle w:val="BodyText"/>
      </w:pPr>
      <w:hyperlink r:id="rId40">
        <w:r>
          <w:rPr>
            <w:rStyle w:val="Hyperlink"/>
          </w:rPr>
          <w:t xml:space="preserve">https://www.nice.org.uk/corporate/ecd10</w:t>
        </w:r>
      </w:hyperlink>
    </w:p>
    <w:p>
      <w:pPr>
        <w:pStyle w:val="BodyText"/>
      </w:pPr>
      <w:hyperlink r:id="rId43">
        <w:r>
          <w:rPr>
            <w:rStyle w:val="Hyperlink"/>
          </w:rPr>
          <w:t xml:space="preserve">[27]</w:t>
        </w:r>
      </w:hyperlink>
      <w:r>
        <w:t xml:space="preserve"> </w:t>
      </w:r>
      <w:hyperlink r:id="rId43">
        <w:r>
          <w:rPr>
            <w:rStyle w:val="Hyperlink"/>
          </w:rPr>
          <w:t xml:space="preserve">[29]</w:t>
        </w:r>
      </w:hyperlink>
      <w:r>
        <w:t xml:space="preserve"> </w:t>
      </w:r>
      <w:r>
        <w:t xml:space="preserve">https://open.fda.gov/apis/drug/label/searchable-fields/</w:t>
      </w:r>
    </w:p>
    <w:p>
      <w:pPr>
        <w:pStyle w:val="BodyText"/>
      </w:pPr>
      <w:hyperlink r:id="rId43">
        <w:r>
          <w:rPr>
            <w:rStyle w:val="Hyperlink"/>
          </w:rPr>
          <w:t xml:space="preserve">https://open.fda.gov/apis/drug/label/searchable-fields/</w:t>
        </w:r>
      </w:hyperlink>
    </w:p>
    <w:p>
      <w:pPr>
        <w:pStyle w:val="BodyText"/>
      </w:pPr>
      <w:hyperlink r:id="rId46">
        <w:r>
          <w:rPr>
            <w:rStyle w:val="Hyperlink"/>
          </w:rPr>
          <w:t xml:space="preserve">[30]</w:t>
        </w:r>
      </w:hyperlink>
      <w:r>
        <w:t xml:space="preserve"> </w:t>
      </w:r>
      <w:hyperlink r:id="rId46">
        <w:r>
          <w:rPr>
            <w:rStyle w:val="Hyperlink"/>
          </w:rPr>
          <w:t xml:space="preserve">[48]</w:t>
        </w:r>
      </w:hyperlink>
      <w:r>
        <w:t xml:space="preserve"> </w:t>
      </w:r>
      <w:r>
        <w:t xml:space="preserve">https://open.fda.gov/apis/</w:t>
      </w:r>
    </w:p>
    <w:p>
      <w:pPr>
        <w:pStyle w:val="BodyText"/>
      </w:pPr>
      <w:hyperlink r:id="rId46">
        <w:r>
          <w:rPr>
            <w:rStyle w:val="Hyperlink"/>
          </w:rPr>
          <w:t xml:space="preserve">https://open.fda.gov/apis/</w:t>
        </w:r>
      </w:hyperlink>
    </w:p>
    <w:p>
      <w:pPr>
        <w:pStyle w:val="BodyText"/>
      </w:pPr>
      <w:hyperlink r:id="rId49">
        <w:r>
          <w:rPr>
            <w:rStyle w:val="Hyperlink"/>
          </w:rPr>
          <w:t xml:space="preserve">[31]</w:t>
        </w:r>
      </w:hyperlink>
      <w:r>
        <w:t xml:space="preserve"> </w:t>
      </w:r>
      <w:hyperlink r:id="rId49">
        <w:r>
          <w:rPr>
            <w:rStyle w:val="Hyperlink"/>
          </w:rPr>
          <w:t xml:space="preserve">[35]</w:t>
        </w:r>
      </w:hyperlink>
      <w:r>
        <w:t xml:space="preserve"> </w:t>
      </w:r>
      <w:hyperlink r:id="rId49">
        <w:r>
          <w:rPr>
            <w:rStyle w:val="Hyperlink"/>
          </w:rPr>
          <w:t xml:space="preserve">[39]</w:t>
        </w:r>
      </w:hyperlink>
      <w:r>
        <w:t xml:space="preserve"> </w:t>
      </w:r>
      <w:hyperlink r:id="rId49">
        <w:r>
          <w:rPr>
            <w:rStyle w:val="Hyperlink"/>
          </w:rPr>
          <w:t xml:space="preserve">[44]</w:t>
        </w:r>
      </w:hyperlink>
      <w:r>
        <w:t xml:space="preserve"> </w:t>
      </w:r>
      <w:r>
        <w:t xml:space="preserve">https://dailymed.nlm.nih.gov/dailymed/webservices-help/v2/spls_api.cfm</w:t>
      </w:r>
    </w:p>
    <w:p>
      <w:pPr>
        <w:pStyle w:val="BodyText"/>
      </w:pPr>
      <w:hyperlink r:id="rId49">
        <w:r>
          <w:rPr>
            <w:rStyle w:val="Hyperlink"/>
          </w:rPr>
          <w:t xml:space="preserve">https://dailymed.nlm.nih.gov/dailymed/webservices-help/v2/spls_api.cfm</w:t>
        </w:r>
      </w:hyperlink>
    </w:p>
    <w:p>
      <w:pPr>
        <w:pStyle w:val="BodyText"/>
      </w:pPr>
      <w:hyperlink r:id="rId56">
        <w:r>
          <w:rPr>
            <w:rStyle w:val="Hyperlink"/>
          </w:rPr>
          <w:t xml:space="preserve">[45]</w:t>
        </w:r>
      </w:hyperlink>
      <w:r>
        <w:t xml:space="preserve"> </w:t>
      </w:r>
      <w:r>
        <w:t xml:space="preserve">https://open.fda.gov/apis/authentication/</w:t>
      </w:r>
    </w:p>
    <w:p>
      <w:pPr>
        <w:pStyle w:val="BodyText"/>
      </w:pPr>
      <w:hyperlink r:id="rId56">
        <w:r>
          <w:rPr>
            <w:rStyle w:val="Hyperlink"/>
          </w:rPr>
          <w:t xml:space="preserve">https://open.fda.gov/apis/authentication/</w:t>
        </w:r>
      </w:hyperlink>
    </w:p>
    <w:p>
      <w:pPr>
        <w:pStyle w:val="BodyText"/>
      </w:pPr>
      <w:hyperlink r:id="rId62">
        <w:r>
          <w:rPr>
            <w:rStyle w:val="Hyperlink"/>
          </w:rPr>
          <w:t xml:space="preserve">[47]</w:t>
        </w:r>
      </w:hyperlink>
      <w:r>
        <w:t xml:space="preserve"> </w:t>
      </w:r>
      <w:r>
        <w:t xml:space="preserve">https://dailymed.nlm.nih.gov/dailymed/spl-resources-all-drug-labels.cfm</w:t>
      </w:r>
    </w:p>
    <w:p>
      <w:pPr>
        <w:pStyle w:val="BodyText"/>
      </w:pPr>
      <w:hyperlink r:id="rId62">
        <w:r>
          <w:rPr>
            <w:rStyle w:val="Hyperlink"/>
          </w:rPr>
          <w:t xml:space="preserve">https://dailymed.nlm.nih.gov/dailymed/spl-resources-all-drug-labels.cfm</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ailymed.nlm.nih.gov/dailymed/about-dailymed.cfm" TargetMode="External" /><Relationship Type="http://schemas.openxmlformats.org/officeDocument/2006/relationships/hyperlink" Id="rId62" Target="https://dailymed.nlm.nih.gov/dailymed/spl-resources-all-drug-labels.cfm" TargetMode="External" /><Relationship Type="http://schemas.openxmlformats.org/officeDocument/2006/relationships/hyperlink" Id="rId49" Target="https://dailymed.nlm.nih.gov/dailymed/webservices-help/v2/spls_api.cfm" TargetMode="External" /><Relationship Type="http://schemas.openxmlformats.org/officeDocument/2006/relationships/hyperlink" Id="rId33" Target="https://digital.nhs.uk/developer/api-catalogue/nhs-website-content/v2" TargetMode="External" /><Relationship Type="http://schemas.openxmlformats.org/officeDocument/2006/relationships/hyperlink" Id="rId37" Target="https://docs.snomed.org/snomed-ct-practical-guides/snomed-ct-starter-guide/13-release-schedule-and-file-formats" TargetMode="External" /><Relationship Type="http://schemas.openxmlformats.org/officeDocument/2006/relationships/hyperlink" Id="rId36" Target="https://icd.who.int/icdapi" TargetMode="External" /><Relationship Type="http://schemas.openxmlformats.org/officeDocument/2006/relationships/hyperlink" Id="rId22" Target="https://lhncbc.nlm.nih.gov/RxNav/" TargetMode="External" /><Relationship Type="http://schemas.openxmlformats.org/officeDocument/2006/relationships/hyperlink" Id="rId31" Target="https://lhncbc.nlm.nih.gov/RxNav/APIs/RxClassAPIs.html" TargetMode="External" /><Relationship Type="http://schemas.openxmlformats.org/officeDocument/2006/relationships/hyperlink" Id="rId30" Target="https://lhncbc.nlm.nih.gov/RxNav/APIs/RxNormAPIs.html" TargetMode="External" /><Relationship Type="http://schemas.openxmlformats.org/officeDocument/2006/relationships/hyperlink" Id="rId46" Target="https://open.fda.gov/apis/" TargetMode="External" /><Relationship Type="http://schemas.openxmlformats.org/officeDocument/2006/relationships/hyperlink" Id="rId56" Target="https://open.fda.gov/apis/authentication/" TargetMode="External" /><Relationship Type="http://schemas.openxmlformats.org/officeDocument/2006/relationships/hyperlink" Id="rId29" Target="https://open.fda.gov/apis/drug/drugsfda/" TargetMode="External" /><Relationship Type="http://schemas.openxmlformats.org/officeDocument/2006/relationships/hyperlink" Id="rId28" Target="https://open.fda.gov/apis/drug/event/" TargetMode="External" /><Relationship Type="http://schemas.openxmlformats.org/officeDocument/2006/relationships/hyperlink" Id="rId26" Target="https://open.fda.gov/apis/drug/label/" TargetMode="External" /><Relationship Type="http://schemas.openxmlformats.org/officeDocument/2006/relationships/hyperlink" Id="rId43" Target="https://open.fda.gov/apis/drug/label/searchable-fields/" TargetMode="External" /><Relationship Type="http://schemas.openxmlformats.org/officeDocument/2006/relationships/hyperlink" Id="rId27" Target="https://open.fda.gov/apis/drug/ndc/" TargetMode="External" /><Relationship Type="http://schemas.openxmlformats.org/officeDocument/2006/relationships/hyperlink" Id="rId23" Target="https://open.fda.gov/license/" TargetMode="External" /><Relationship Type="http://schemas.openxmlformats.org/officeDocument/2006/relationships/hyperlink" Id="rId38" Target="https://pubmed.ncbi.nlm.nih.gov/about/" TargetMode="External" /><Relationship Type="http://schemas.openxmlformats.org/officeDocument/2006/relationships/hyperlink" Id="rId32" Target="https://www.ema.europa.eu/en/about-us/about-website/download-website-data-json-data-format" TargetMode="External" /><Relationship Type="http://schemas.openxmlformats.org/officeDocument/2006/relationships/hyperlink" Id="rId39" Target="https://www.ncbi.nlm.nih.gov/pmc///tools/openftlist/" TargetMode="External" /><Relationship Type="http://schemas.openxmlformats.org/officeDocument/2006/relationships/hyperlink" Id="rId40" Target="https://www.nice.org.uk/corporate/ecd10" TargetMode="External" /><Relationship Type="http://schemas.openxmlformats.org/officeDocument/2006/relationships/hyperlink" Id="rId34" Target="https://www.who.int/groups/expert-committee-on-selection-and-use-of-essential-medicines/essential-medicines-lists" TargetMode="External" /></Relationships>
</file>

<file path=word/_rels/footnotes.xml.rels><?xml version="1.0" encoding="UTF-8"?><Relationships xmlns="http://schemas.openxmlformats.org/package/2006/relationships"><Relationship Type="http://schemas.openxmlformats.org/officeDocument/2006/relationships/hyperlink" Id="rId21" Target="https://dailymed.nlm.nih.gov/dailymed/about-dailymed.cfm" TargetMode="External" /><Relationship Type="http://schemas.openxmlformats.org/officeDocument/2006/relationships/hyperlink" Id="rId62" Target="https://dailymed.nlm.nih.gov/dailymed/spl-resources-all-drug-labels.cfm" TargetMode="External" /><Relationship Type="http://schemas.openxmlformats.org/officeDocument/2006/relationships/hyperlink" Id="rId49" Target="https://dailymed.nlm.nih.gov/dailymed/webservices-help/v2/spls_api.cfm" TargetMode="External" /><Relationship Type="http://schemas.openxmlformats.org/officeDocument/2006/relationships/hyperlink" Id="rId33" Target="https://digital.nhs.uk/developer/api-catalogue/nhs-website-content/v2" TargetMode="External" /><Relationship Type="http://schemas.openxmlformats.org/officeDocument/2006/relationships/hyperlink" Id="rId37" Target="https://docs.snomed.org/snomed-ct-practical-guides/snomed-ct-starter-guide/13-release-schedule-and-file-formats" TargetMode="External" /><Relationship Type="http://schemas.openxmlformats.org/officeDocument/2006/relationships/hyperlink" Id="rId36" Target="https://icd.who.int/icdapi" TargetMode="External" /><Relationship Type="http://schemas.openxmlformats.org/officeDocument/2006/relationships/hyperlink" Id="rId22" Target="https://lhncbc.nlm.nih.gov/RxNav/" TargetMode="External" /><Relationship Type="http://schemas.openxmlformats.org/officeDocument/2006/relationships/hyperlink" Id="rId31" Target="https://lhncbc.nlm.nih.gov/RxNav/APIs/RxClassAPIs.html" TargetMode="External" /><Relationship Type="http://schemas.openxmlformats.org/officeDocument/2006/relationships/hyperlink" Id="rId30" Target="https://lhncbc.nlm.nih.gov/RxNav/APIs/RxNormAPIs.html" TargetMode="External" /><Relationship Type="http://schemas.openxmlformats.org/officeDocument/2006/relationships/hyperlink" Id="rId46" Target="https://open.fda.gov/apis/" TargetMode="External" /><Relationship Type="http://schemas.openxmlformats.org/officeDocument/2006/relationships/hyperlink" Id="rId56" Target="https://open.fda.gov/apis/authentication/" TargetMode="External" /><Relationship Type="http://schemas.openxmlformats.org/officeDocument/2006/relationships/hyperlink" Id="rId29" Target="https://open.fda.gov/apis/drug/drugsfda/" TargetMode="External" /><Relationship Type="http://schemas.openxmlformats.org/officeDocument/2006/relationships/hyperlink" Id="rId28" Target="https://open.fda.gov/apis/drug/event/" TargetMode="External" /><Relationship Type="http://schemas.openxmlformats.org/officeDocument/2006/relationships/hyperlink" Id="rId26" Target="https://open.fda.gov/apis/drug/label/" TargetMode="External" /><Relationship Type="http://schemas.openxmlformats.org/officeDocument/2006/relationships/hyperlink" Id="rId43" Target="https://open.fda.gov/apis/drug/label/searchable-fields/" TargetMode="External" /><Relationship Type="http://schemas.openxmlformats.org/officeDocument/2006/relationships/hyperlink" Id="rId27" Target="https://open.fda.gov/apis/drug/ndc/" TargetMode="External" /><Relationship Type="http://schemas.openxmlformats.org/officeDocument/2006/relationships/hyperlink" Id="rId23" Target="https://open.fda.gov/license/" TargetMode="External" /><Relationship Type="http://schemas.openxmlformats.org/officeDocument/2006/relationships/hyperlink" Id="rId38" Target="https://pubmed.ncbi.nlm.nih.gov/about/" TargetMode="External" /><Relationship Type="http://schemas.openxmlformats.org/officeDocument/2006/relationships/hyperlink" Id="rId32" Target="https://www.ema.europa.eu/en/about-us/about-website/download-website-data-json-data-format" TargetMode="External" /><Relationship Type="http://schemas.openxmlformats.org/officeDocument/2006/relationships/hyperlink" Id="rId39" Target="https://www.ncbi.nlm.nih.gov/pmc///tools/openftlist/" TargetMode="External" /><Relationship Type="http://schemas.openxmlformats.org/officeDocument/2006/relationships/hyperlink" Id="rId40" Target="https://www.nice.org.uk/corporate/ecd10" TargetMode="External" /><Relationship Type="http://schemas.openxmlformats.org/officeDocument/2006/relationships/hyperlink" Id="rId34" Target="https://www.who.int/groups/expert-committee-on-selection-and-use-of-essential-medicines/essential-medicines-li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2026-05-06T19:09:56Z</dcterms:created>
  <dcterms:modified xsi:type="dcterms:W3CDTF">2026-05-06T19:09:56Z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