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HU.MN Academy &amp; Ethical Resolve</w:t>
      </w:r>
    </w:p>
    <w:p w:rsidR="00000000" w:rsidDel="00000000" w:rsidP="00000000" w:rsidRDefault="00000000" w:rsidRPr="00000000" w14:paraId="00000002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Justice and Responsible AI (Erdös Institute) </w:t>
      </w:r>
    </w:p>
    <w:p w:rsidR="00000000" w:rsidDel="00000000" w:rsidP="00000000" w:rsidRDefault="00000000" w:rsidRPr="00000000" w14:paraId="00000003">
      <w:pPr>
        <w:spacing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makes explicit the ethical, political, and social assumptions underlying a proposed AI system before design and deployment lock them in.</w:t>
      </w:r>
    </w:p>
    <w:p w:rsidR="00000000" w:rsidDel="00000000" w:rsidP="00000000" w:rsidRDefault="00000000" w:rsidRPr="00000000" w14:paraId="00000007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does not constitute a values statement, nor is it a compliance checklist. It is a justification-for-proceeding exercise, grounded in institutional responsibility and social impact.</w:t>
        <w:br w:type="textWrapping"/>
      </w:r>
    </w:p>
    <w:tbl>
      <w:tblPr>
        <w:tblStyle w:val="Table1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5"/>
        <w:gridCol w:w="7590"/>
        <w:tblGridChange w:id="0">
          <w:tblGrid>
            <w:gridCol w:w="6915"/>
            <w:gridCol w:w="7590"/>
          </w:tblGrid>
        </w:tblGridChange>
      </w:tblGrid>
      <w:tr>
        <w:trPr>
          <w:cantSplit w:val="0"/>
          <w:trHeight w:val="579.6728515625001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1 — System Framing (10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9.672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/ project name: AUTHENTES v 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type (check all that apply):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Predictive</w:t>
              <w:br w:type="textWrapping"/>
              <w:t xml:space="preserve"> ☐ Generative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Agentic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Fully or partially automated decision-making</w:t>
              <w:br w:type="textWrapping"/>
              <w:t xml:space="preserve"> ☐ Other (specify): 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Deployment context (check all that apply):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Internal-facing</w:t>
              <w:br w:type="textWrapping"/>
              <w:t xml:space="preserve"> ☐ Customer-facing</w:t>
              <w:br w:type="textWrapping"/>
              <w:t xml:space="preserve"> ☐ Public-facing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High-stakes domain (health, finance, employment, safety, etc.)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Why are we building this?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(e.g. efficiency, cost, risk reduction, scale, regulatory or competitive pressure)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To preserve the integrity of the “learn by doing” process and protect the value of academic accreditation by ensuring students engage in the cognitive labor required by their curriculum.</w:t>
            </w:r>
          </w:p>
          <w:p w:rsidR="00000000" w:rsidDel="00000000" w:rsidP="00000000" w:rsidRDefault="00000000" w:rsidRPr="00000000" w14:paraId="0000000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Alternatives considered (check all that apply):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Non-AI options</w:t>
              <w:br w:type="textWrapping"/>
              <w:t xml:space="preserve"> ☐ Lower-automation options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Status quo with reform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green"/>
                <w:rtl w:val="0"/>
              </w:rPr>
              <w:t xml:space="preserve">honor code updates, e.g.</w:t>
            </w:r>
          </w:p>
        </w:tc>
      </w:tr>
    </w:tbl>
    <w:p w:rsidR="00000000" w:rsidDel="00000000" w:rsidP="00000000" w:rsidRDefault="00000000" w:rsidRPr="00000000" w14:paraId="00000011">
      <w:pPr>
        <w:spacing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7545"/>
        <w:tblGridChange w:id="0">
          <w:tblGrid>
            <w:gridCol w:w="6960"/>
            <w:gridCol w:w="75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2 — Decision Scope &amp; Human Role (10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decision, process, or activity does this system shape or replace?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It shapes the submission and acceptance stage of the academic grading/assessment workflow by inserting a “validation gate” between the uploaded/submitted assignment/assessment and the instructor’s evaluation stage.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Human role and discretion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decisions remain human?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9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Final determination of plagiarism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9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Disciplinary actions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9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Override of flags for students with unique writing styles (non-native speakers, e.g.)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decisions are constrained, shaped, or accelerated by the system?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9"/>
              </w:numPr>
              <w:spacing w:after="24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Immediate availability of student’s work for grading is constrained by the system’s initial classification.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45"/>
        <w:gridCol w:w="2595"/>
        <w:gridCol w:w="4965"/>
        <w:tblGridChange w:id="0">
          <w:tblGrid>
            <w:gridCol w:w="6945"/>
            <w:gridCol w:w="2595"/>
            <w:gridCol w:w="49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3 — Intended Use &amp; Boundaries (10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Primary intended use (1–2 sentences):</w:t>
            </w:r>
          </w:p>
          <w:p w:rsidR="00000000" w:rsidDel="00000000" w:rsidP="00000000" w:rsidRDefault="00000000" w:rsidRPr="00000000" w14:paraId="00000022">
            <w:pPr>
              <w:spacing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system is intended primarily to act as an automated gatekeeper that flags and pauses acceptance for evaluation of content with a high probability of AI generation, pausing the evaluation process until a human can verify its authenticity.</w:t>
            </w:r>
          </w:p>
          <w:p w:rsidR="00000000" w:rsidDel="00000000" w:rsidP="00000000" w:rsidRDefault="00000000" w:rsidRPr="00000000" w14:paraId="00000023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Explicit non-use / discouraged contexts (list up to 2):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Punitive “auto-failing”: the system must not be used automatically to assign grades or disciplinary marks without human intervention.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Creative AI-assisted courses: the system is not to be deployed in courses or assignments where LLM usage is a defined part of the pedagogical toolkit.</w:t>
            </w:r>
          </w:p>
          <w:p w:rsidR="00000000" w:rsidDel="00000000" w:rsidP="00000000" w:rsidRDefault="00000000" w:rsidRPr="00000000" w14:paraId="00000029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sz w:val="24"/>
                <w:szCs w:val="24"/>
                <w:rtl w:val="0"/>
              </w:rPr>
              <w:t xml:space="preserve">Rule: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If you are unwilling to name non-uses, the system is already ungovernable.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Non-deployment justification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 what conditions should this system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 exist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2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If the false positive rate for non-native English speakers or neurodivergent students exceeds a threshold that creates systemic bias, the system should not exist.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7545"/>
        <w:tblGridChange w:id="0">
          <w:tblGrid>
            <w:gridCol w:w="6960"/>
            <w:gridCol w:w="75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4 — Baseline Condition &amp; Displacement (15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Before this system exists: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Who currently performs this activity?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2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Instructors and TAs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discretion, judgment, or contextual knowledge do they exercise?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2"/>
              </w:numPr>
              <w:spacing w:after="24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They use their expertise in reading and assessing writing, such as noticing sudden shifts in a student’s prose style or vocabulary; this skill requires them to exercise deep contextual knowledge of a student’s or group of students’ growth.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After this system exists (expected)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1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changes about who decides?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11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Ultimate decision still rests with instructor but, ideally, they have fewer decisions to make and spend less time on them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1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new expectations, pressures, or norms emerge?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1"/>
              </w:numPr>
              <w:spacing w:after="24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burden of proof shifts. Instructors may become overly reliant on the software’s probability score, potentially leading to a “guilty until proven innocent” dynamic for flagged students.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7590"/>
        <w:tblGridChange w:id="0">
          <w:tblGrid>
            <w:gridCol w:w="6960"/>
            <w:gridCol w:w="75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5 — Values &amp; Assumptions (15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Values/rights this system is meant to advance:</w:t>
            </w:r>
          </w:p>
          <w:p w:rsidR="00000000" w:rsidDel="00000000" w:rsidP="00000000" w:rsidRDefault="00000000" w:rsidRPr="00000000" w14:paraId="00000041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Integrity, Authenticity, Meritocracy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Values/rights deprioritized or placed under strain (name at least one):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Privacy (due to scanning), Student Autonomy, Trust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 trade-offs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values and rights are prioritized?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Institutional brand/accreditation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2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are knowingly deprioritized?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Frictionless UX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2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are values and/or rights in tension? [[ ]]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Key assumptions this system relies on (list up to 2):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AI writing maintains detectable “statistical signatures” that human writing lacks.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240" w:before="0" w:beforeAutospacing="0" w:line="278.00000000000006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“process” of writing is more valuable than the “product.”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Assumptions about people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(Instructors) are assumed to be overburdened by vetting and in need of time reclamation.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Affected non-users: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(Students) are assumed to be prone to cutting themselves out of the process due to the perceived ease of LLMs.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Workers: [[TBD]]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Downstream subjects: [[TBD]]</w:t>
              <w:br w:type="textWrapping"/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7590"/>
        <w:tblGridChange w:id="0">
          <w:tblGrid>
            <w:gridCol w:w="6960"/>
            <w:gridCol w:w="75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6 — Affected Groups &amp; Impact Direction (15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Direct users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Students: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Positive: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Ensures their degree remains valuable.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Negative: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Risk of false positives and increased anxiety during submission due to delays</w:t>
            </w:r>
          </w:p>
          <w:p w:rsidR="00000000" w:rsidDel="00000000" w:rsidP="00000000" w:rsidRDefault="00000000" w:rsidRPr="00000000" w14:paraId="0000005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Faculty/Instructional Designers: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Positive: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Reclaims time spent on “detective work.”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Negative: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May face increased appeals/confrontations from flagged students; potentially require more time to review flagged output.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Indirectly affected subjects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Who (or what) is classified, evaluated, inferred about, or acted upon?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Authors of dataset materials - see the dataset datasheet document.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Non-consenting populations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Groups affected without meaningful opt-in</w:t>
            </w:r>
          </w:p>
          <w:p w:rsidR="00000000" w:rsidDel="00000000" w:rsidP="00000000" w:rsidRDefault="00000000" w:rsidRPr="00000000" w14:paraId="0000005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Future employers who need to rely on a college degree as an indicator of certain skills and knowledge required for the roles in which they would want to employ graduates.</w:t>
            </w:r>
          </w:p>
          <w:p w:rsidR="00000000" w:rsidDel="00000000" w:rsidP="00000000" w:rsidRDefault="00000000" w:rsidRPr="00000000" w14:paraId="0000005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Institutional actors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Accreditation Boards: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Positive: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Restored confidence in institutional standards.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Negative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Required to understand and assess new LLM/LMS integration</w:t>
            </w:r>
          </w:p>
          <w:p w:rsidR="00000000" w:rsidDel="00000000" w:rsidP="00000000" w:rsidRDefault="00000000" w:rsidRPr="00000000" w14:paraId="0000005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Admissions &amp; Athletics: These offices are incentivized toward “low friction.” If AUTHENTES flags a high-profile student-athlete or a high-tuition international student, the pressure on the “Reviewer” to override the system will be immense.</w:t>
            </w:r>
          </w:p>
          <w:p w:rsidR="00000000" w:rsidDel="00000000" w:rsidP="00000000" w:rsidRDefault="00000000" w:rsidRPr="00000000" w14:paraId="0000005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IT/LMS Administrators: They face the “reliability” risk. If AUTHENTES experiences downtime during a finals-week surge (scalability), it creates a campus-wide bottleneck that could lead to system-wide bypasses.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sz w:val="24"/>
                <w:szCs w:val="24"/>
                <w:rtl w:val="0"/>
              </w:rPr>
              <w:t xml:space="preserve">List up to three groups most affected.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For each, note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sz w:val="24"/>
                <w:szCs w:val="24"/>
                <w:rtl w:val="0"/>
              </w:rPr>
              <w:t xml:space="preserve">both positive and negative impacts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 where applicable.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7575"/>
        <w:tblGridChange w:id="0">
          <w:tblGrid>
            <w:gridCol w:w="6960"/>
            <w:gridCol w:w="75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7 — Foreseeable Ethical Risks (15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List up to three risks that 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rely on system malfunction:</w:t>
            </w:r>
          </w:p>
          <w:p w:rsidR="00000000" w:rsidDel="00000000" w:rsidP="00000000" w:rsidRDefault="00000000" w:rsidRPr="00000000" w14:paraId="00000067">
            <w:pPr>
              <w:spacing w:after="240" w:before="240" w:line="278.00000000000006" w:lineRule="auto"/>
              <w:ind w:left="0" w:right="60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Even if this system works as intended, what could still go wrong?</w:t>
            </w:r>
          </w:p>
          <w:p w:rsidR="00000000" w:rsidDel="00000000" w:rsidP="00000000" w:rsidRDefault="00000000" w:rsidRPr="00000000" w14:paraId="00000068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The “Arms Race” Loop: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As LLMs evolve to mimic human writing, the system may become obsolete or require increasingly invasive surveillance to function.</w:t>
            </w:r>
          </w:p>
          <w:p w:rsidR="00000000" w:rsidDel="00000000" w:rsidP="00000000" w:rsidRDefault="00000000" w:rsidRPr="00000000" w14:paraId="00000069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Linguistic Discrimination/Algorithmic Bias: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High risk that students with formal, structured, or "non-standard" English (ESL learners, neurodivergent learners) are flagged at higher rates.</w:t>
            </w:r>
          </w:p>
          <w:p w:rsidR="00000000" w:rsidDel="00000000" w:rsidP="00000000" w:rsidRDefault="00000000" w:rsidRPr="00000000" w14:paraId="0000006A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Deskilling of Educators: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Instructors may lose the muscle memory for recognizing their students' unique voices if they rely solely on the flag. </w:t>
            </w:r>
          </w:p>
          <w:p w:rsidR="00000000" w:rsidDel="00000000" w:rsidP="00000000" w:rsidRDefault="00000000" w:rsidRPr="00000000" w14:paraId="0000006B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Risk Asymmetry: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The Institution captures the value (brand protection), while the Student bears the risk (potential false accusation).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 lenses: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Individual harm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Group or demographic harm</w:t>
              <w:br w:type="textWrapping"/>
              <w:t xml:space="preserve"> ☐ Institutional distortion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Power asymmetries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Deskilling / dependency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Reputational or legitimacy risk</w:t>
            </w:r>
          </w:p>
          <w:p w:rsidR="00000000" w:rsidDel="00000000" w:rsidP="00000000" w:rsidRDefault="00000000" w:rsidRPr="00000000" w14:paraId="0000006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 asymmetry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Who bears risk? 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4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Student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bears the risk (submission blocks/suspicion)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4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Instructor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bears the risk (trusting decisionmaking to the model, bearing responsibility for it)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Who captures value? </w:t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4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University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captures value (brand protection)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4"/>
              </w:numPr>
              <w:spacing w:after="24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Instructor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captures value (more efficient use of time)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 and reversibility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6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harms are irreversible?</w:t>
            </w:r>
          </w:p>
          <w:p w:rsidR="00000000" w:rsidDel="00000000" w:rsidP="00000000" w:rsidRDefault="00000000" w:rsidRPr="00000000" w14:paraId="00000078">
            <w:pPr>
              <w:numPr>
                <w:ilvl w:val="1"/>
                <w:numId w:val="6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Educational stunting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: if students’ writing/coding/composition/etc. is shaped too powerfully by the considerations imposed by this system, they may fail to develop their own voice/learn the necessary skills in a real-world context.</w:t>
            </w:r>
          </w:p>
          <w:p w:rsidR="00000000" w:rsidDel="00000000" w:rsidP="00000000" w:rsidRDefault="00000000" w:rsidRPr="00000000" w14:paraId="00000079">
            <w:pPr>
              <w:numPr>
                <w:ilvl w:val="1"/>
                <w:numId w:val="6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Reputational strain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: instructors and departments that set stricter thresholds for students to overcome may become seen as difficult or unreasonable, damaging enrollment across multiple classes even if policies later change.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6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harms compound over time?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6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Adversarial evolution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: students may train themselves and their peers to beat the system rather than learn the material/skills, changing the academic culture to an “us vs them” dynamic</w:t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6"/>
              </w:numPr>
              <w:spacing w:after="24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nstitutional dependency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: instructors who rely on AUTHENTES block/bounce process rather than their own judgment risk losing capacity to evaluate authentic work, a form of “institutional deskilling”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Mitigation strategies (if proceeding):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Design changes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failsafe threshold defaulting to accept submissions; students given opportunities to reflect on/explain their process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 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Process changes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mandatory “no stigma” policy for flagged submissions; effective instructor training of system limitations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Oversight mechanisms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regular audits of flagged/overridden ratios to identify systemic bias in practice, rather than just in theory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7560"/>
        <w:tblGridChange w:id="0">
          <w:tblGrid>
            <w:gridCol w:w="6960"/>
            <w:gridCol w:w="75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8 — Provisional Ethical Stance (10 min)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Conditions for proceeding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must be true before deployment?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system must demonstrate a False Positive Rate (FPR) below a strictly defined threshold across diverse demographic groups in a “silent pilot” phase.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"Anonymity" and "Non-punitive" requirements must be strictly audited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"Explainability" must be clear enough for a student to understand why they were flagged.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 ethical questions</w:t>
            </w:r>
          </w:p>
          <w:p w:rsidR="00000000" w:rsidDel="00000000" w:rsidP="00000000" w:rsidRDefault="00000000" w:rsidRPr="00000000" w14:paraId="0000008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How do we define "ethical adoption of AI" (non-goal #3) versus "plagiarism"?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8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Known unknowns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8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 positive rate (FPR) prior to testing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8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 % of students using LLMs to do attempt to do their assignments for them (i.e. adversarial user base size)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8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Deferred judgments</w:t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8"/>
              </w:numPr>
              <w:spacing w:after="0" w:afterAutospacing="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resubmission policy (dependent upon FPR)</w:t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8"/>
              </w:numPr>
              <w:spacing w:after="240" w:before="0" w:beforeAutospacing="0" w:line="278.00000000000006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universal mandate (opt-in? opt-out? field- or department-specific? course level decision?)</w:t>
            </w:r>
          </w:p>
          <w:p w:rsidR="00000000" w:rsidDel="00000000" w:rsidP="00000000" w:rsidRDefault="00000000" w:rsidRPr="00000000" w14:paraId="0000008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Overall ethical risk assessment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High risk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Medium risk</w:t>
              <w:br w:type="textWrapping"/>
              <w:t xml:space="preserve"> ☐ Low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Narrative explanation for risk assessment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(2–3 sentences max)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While the goal is noble, the technical difficulty of proving a negative (that a human did not write something) combined with the high stakes of academic discipline makes this a high-risk intervention that could permanently damage the student-teacher trust if it fails. The goal is to foster a “culture of honesty,” but the system introduces a significant power asymmetry by "blocking submission." The risk of misclassification and the resulting psychological impact on the learner-instructor relationship requires high-quality human oversight.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7515"/>
        <w:tblGridChange w:id="0">
          <w:tblGrid>
            <w:gridCol w:w="6990"/>
            <w:gridCol w:w="75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9 — Accountability Anchor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Who is responsible for revisiting this review?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Dean’s Office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Provost’s Office (depending on institution)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University Ethics Committee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Office of Academic Integrity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Honor Council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Faculty Senate Technology Committee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(specific groups are highly dependent upon individual institutions and their structural organization and responsibilities)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78.0000000000000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On what trigger?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(time, scale, incident, regulatory change)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Any instance of a high-profile false positive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Statistically significant evidence of disparate impact on specific demographics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High rate of overrides by human instructors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="278.0000000000000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before="480" w:line="278.00000000000006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Ethical Review &amp; Social Impact Snapshot (template)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