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pageBreakBefore w:val="1"/>
        <w:spacing w:line="100" w:lineRule="atLeast"/>
        <w:jc w:val="right"/>
        <w:rPr>
          <w:b w:val="1"/>
          <w:bCs w:val="1"/>
          <w:sz w:val="18"/>
          <w:szCs w:val="18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Приложение №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${supplementNum}</w:t>
      </w:r>
      <w:r>
        <w:rPr>
          <w:b w:val="1"/>
          <w:bCs w:val="1"/>
          <w:color w:val="ff0000"/>
          <w:sz w:val="18"/>
          <w:szCs w:val="18"/>
          <w:u w:color="ff0000"/>
          <w:rtl w:val="0"/>
          <w:lang w:val="ru-RU"/>
        </w:rPr>
        <w:t xml:space="preserve">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от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${supplementDate}</w:t>
      </w:r>
      <w:r>
        <w:rPr>
          <w:b w:val="1"/>
          <w:bCs w:val="1"/>
          <w:sz w:val="18"/>
          <w:szCs w:val="18"/>
          <w:rtl w:val="0"/>
          <w:lang w:val="ru-RU"/>
        </w:rPr>
        <w:t xml:space="preserve"> года</w:t>
      </w:r>
    </w:p>
    <w:p>
      <w:pPr>
        <w:pStyle w:val="Normal.0"/>
        <w:spacing w:line="100" w:lineRule="atLeast"/>
        <w:jc w:val="right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к Договору поручения № Р</w:t>
      </w:r>
      <w:r>
        <w:rPr>
          <w:b w:val="1"/>
          <w:bCs w:val="1"/>
          <w:sz w:val="18"/>
          <w:szCs w:val="18"/>
          <w:rtl w:val="0"/>
          <w:lang w:val="ru-RU"/>
        </w:rPr>
        <w:t>-</w:t>
      </w:r>
      <w:r>
        <w:rPr>
          <w:b w:val="1"/>
          <w:bCs w:val="1"/>
          <w:sz w:val="18"/>
          <w:szCs w:val="18"/>
          <w:rtl w:val="0"/>
          <w:lang w:val="en-US"/>
        </w:rPr>
        <w:t>${agreementNum}</w:t>
      </w:r>
      <w:r>
        <w:rPr>
          <w:b w:val="1"/>
          <w:bCs w:val="1"/>
          <w:sz w:val="18"/>
          <w:szCs w:val="18"/>
          <w:rtl w:val="0"/>
          <w:lang w:val="ru-RU"/>
        </w:rPr>
        <w:t xml:space="preserve"> от </w:t>
      </w:r>
      <w:r>
        <w:rPr>
          <w:b w:val="1"/>
          <w:bCs w:val="1"/>
          <w:sz w:val="18"/>
          <w:szCs w:val="18"/>
          <w:rtl w:val="0"/>
          <w:lang w:val="en-US"/>
        </w:rPr>
        <w:t>${agreementDate}</w:t>
      </w:r>
      <w:r>
        <w:rPr>
          <w:b w:val="1"/>
          <w:bCs w:val="1"/>
          <w:sz w:val="18"/>
          <w:szCs w:val="18"/>
          <w:rtl w:val="0"/>
          <w:lang w:val="ru-RU"/>
        </w:rPr>
        <w:t xml:space="preserve">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>года</w:t>
      </w:r>
    </w:p>
    <w:p>
      <w:pPr>
        <w:pStyle w:val="Normal.0"/>
        <w:spacing w:line="100" w:lineRule="atLeast"/>
        <w:jc w:val="center"/>
        <w:rPr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center"/>
      </w:pPr>
      <w:r>
        <w:rPr>
          <w:b w:val="1"/>
          <w:bCs w:val="1"/>
          <w:sz w:val="18"/>
          <w:szCs w:val="18"/>
          <w:rtl w:val="0"/>
          <w:lang w:val="ru-RU"/>
        </w:rPr>
        <w:t>Условия Участия в Программе лояльности</w:t>
      </w:r>
    </w:p>
    <w:tbl>
      <w:tblPr>
        <w:tblW w:w="1000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43"/>
        <w:gridCol w:w="2665"/>
      </w:tblGrid>
      <w:tr>
        <w:tblPrEx>
          <w:shd w:val="clear" w:color="auto" w:fill="d0ddef"/>
        </w:tblPrEx>
        <w:trPr>
          <w:trHeight w:val="1795" w:hRule="atLeast"/>
        </w:trPr>
        <w:tc>
          <w:tcPr>
            <w:tcW w:type="dxa" w:w="10008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kern w:val="1"/>
                <w:sz w:val="18"/>
                <w:szCs w:val="18"/>
              </w:rPr>
            </w:pPr>
            <w:r>
              <w:rPr>
                <w:b w:val="1"/>
                <w:bCs w:val="1"/>
                <w:kern w:val="0"/>
                <w:sz w:val="18"/>
                <w:szCs w:val="18"/>
                <w:rtl w:val="0"/>
                <w:lang w:val="ru-RU"/>
              </w:rPr>
              <w:t>Предмет Участия в Программе лояльности</w:t>
            </w:r>
            <w:r>
              <w:rPr>
                <w:b w:val="1"/>
                <w:bCs w:val="1"/>
                <w:kern w:val="0"/>
                <w:sz w:val="18"/>
                <w:szCs w:val="18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kern w:val="1"/>
                <w:sz w:val="18"/>
                <w:szCs w:val="18"/>
                <w:rtl w:val="0"/>
                <w:lang w:val="ru-RU"/>
              </w:rPr>
              <w:t>В случае осуществления покупки товаров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работ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услуг посредством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мобильного приложения «Рахмет»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Доверитель предоставляет Пользователю скидку в размере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указанном в настоящем Приложении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при условии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что сумма в размере предоставленной скидки сохраняется Пользователем у Поверенного для дальнейшей оплаты товаров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работ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услуг на ресурсах Поверенного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Сумма скидки Доверителя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накапливаемая Пользователем у Поверенного может быть использована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(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полностью или частично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исключительно для оплаты товаров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работ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услуг посредством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мобильного приложения «Рахмет»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без предоставления Пользователю права получения компенсации в денежном выражении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а также возврата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восстановления такой суммы скидки по истечении срока сгорания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который по условиям Участия в Программе лояльности составляет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5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лет с даты предоставления скидки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d0ddef"/>
        </w:tblPrEx>
        <w:trPr>
          <w:trHeight w:val="195" w:hRule="atLeast"/>
        </w:trPr>
        <w:tc>
          <w:tcPr>
            <w:tcW w:type="dxa" w:w="10008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Размещение Участия в Программе лояльности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>мобильное приложение «Рахмет»</w:t>
            </w:r>
          </w:p>
        </w:tc>
      </w:tr>
      <w:tr>
        <w:tblPrEx>
          <w:shd w:val="clear" w:color="auto" w:fill="d0ddef"/>
        </w:tblPrEx>
        <w:trPr>
          <w:trHeight w:val="195" w:hRule="atLeast"/>
        </w:trPr>
        <w:tc>
          <w:tcPr>
            <w:tcW w:type="dxa" w:w="734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Вознаграждение Поверенного от стоимости сделки для Пользователя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</w:p>
        </w:tc>
        <w:tc>
          <w:tcPr>
            <w:tcW w:type="dxa" w:w="266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Комиссия – 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${commission}%</w:t>
            </w:r>
          </w:p>
        </w:tc>
      </w:tr>
      <w:tr>
        <w:tblPrEx>
          <w:shd w:val="clear" w:color="auto" w:fill="d0ddef"/>
        </w:tblPrEx>
        <w:trPr>
          <w:trHeight w:val="195" w:hRule="atLeast"/>
        </w:trPr>
        <w:tc>
          <w:tcPr>
            <w:tcW w:type="dxa" w:w="734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kern w:val="1"/>
                <w:sz w:val="18"/>
                <w:szCs w:val="18"/>
                <w:rtl w:val="0"/>
                <w:lang w:val="ru-RU"/>
              </w:rPr>
              <w:t>Скидка для пользователей</w:t>
            </w:r>
            <w:r>
              <w:rPr>
                <w:b w:val="1"/>
                <w:bCs w:val="1"/>
                <w:kern w:val="1"/>
                <w:sz w:val="18"/>
                <w:szCs w:val="18"/>
                <w:rtl w:val="0"/>
                <w:lang w:val="ru-RU"/>
              </w:rPr>
              <w:t>:</w:t>
            </w:r>
          </w:p>
        </w:tc>
        <w:tc>
          <w:tcPr>
            <w:tcW w:type="dxa" w:w="266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${cashback}%</w:t>
            </w:r>
          </w:p>
        </w:tc>
      </w:tr>
      <w:tr>
        <w:tblPrEx>
          <w:shd w:val="clear" w:color="auto" w:fill="d0ddef"/>
        </w:tblPrEx>
        <w:trPr>
          <w:trHeight w:val="3795" w:hRule="atLeast"/>
        </w:trPr>
        <w:tc>
          <w:tcPr>
            <w:tcW w:type="dxa" w:w="10008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Условия оплаты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1.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Вознаграждение Поверенного определяется от общей стоимости сделки без учета скидки Доверителя в размере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указываемом в настоящем Приложении к Договору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2.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Вознаграждение Поверенного удерживается из суммы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подлежащей перечислению Доверителю в соответствии с условиями Участия в Программе лояльности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3.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Поверенный перечисляет Доверителю суммы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полученные от Пользователей в Отчетном периоде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исключительно исходя из фактического количества Пользователей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принявших Участие в Программе лояльности 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только деньги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фактически полученные Поверенным за оплаченные товары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услуги Доверителя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за вычетом предоставленных скидок Пользователям и вознаграждения Поверенного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22" w:right="0" w:hanging="22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4.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Перечисление денег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полученных от Пользователей в Отчетном периоде за приобретенные товары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услуги Доверителя за вычетом вознаграждения Поверенного и предоставленных скидок Пользователям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осуществляется Поверенным в пользу Доверителя 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${paymentTime}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 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22" w:right="0" w:hanging="22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  <w:lang w:val="ru-RU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5.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При проведении взаиморасчетов Поверенный округляет суммы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исчисленные в тиынах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до 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тенге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 каждой транзакции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 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6.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Все расчеты по Договору производятся в казахстанских тенге путем перечисления денежных средств на банковские расчетные счета Сторон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указанные в реквизитах Сторон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 случае предоставления Доверителем неверных реквизитов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ответственность за не перечисление или задержки в перечислении денежных средств Поверенный не несет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rmal1"/>
              <w:keepNext w:val="1"/>
              <w:tabs>
                <w:tab w:val="left" w:pos="284"/>
                <w:tab w:val="left" w:pos="426"/>
              </w:tabs>
              <w:suppressAutoHyphens w:val="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7.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 случае неисполнения либо ненадлежащего исполнения Доверителем обязательств перед Поверенным и Пользователями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влекущем возврат Поверенным денежных средств за приобретенные товары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услуги Доверителя на счет Пользователя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перечисление сумм Доверителю по таким товарам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работам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услугам Доверителя не производится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995" w:hRule="atLeast"/>
        </w:trPr>
        <w:tc>
          <w:tcPr>
            <w:tcW w:type="dxa" w:w="10008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Период Участия в Программе лояльности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rtl w:val="0"/>
                <w:lang w:val="ru-RU"/>
              </w:rPr>
              <w:t>12 (</w:t>
            </w:r>
            <w:r>
              <w:rPr>
                <w:sz w:val="18"/>
                <w:szCs w:val="18"/>
                <w:rtl w:val="0"/>
                <w:lang w:val="ru-RU"/>
              </w:rPr>
              <w:t>двенадцати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rtl w:val="0"/>
                <w:lang w:val="ru-RU"/>
              </w:rPr>
              <w:t>календарных месяцев с момента запуска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rtl w:val="0"/>
                <w:lang w:val="ru-RU"/>
              </w:rPr>
              <w:t xml:space="preserve">В случае если одна из Сторон не направила другой Стороне уведомление не менее чем за </w:t>
            </w:r>
            <w:r>
              <w:rPr>
                <w:sz w:val="18"/>
                <w:szCs w:val="18"/>
                <w:rtl w:val="0"/>
                <w:lang w:val="ru-RU"/>
              </w:rPr>
              <w:t>15 (</w:t>
            </w:r>
            <w:r>
              <w:rPr>
                <w:sz w:val="18"/>
                <w:szCs w:val="18"/>
                <w:rtl w:val="0"/>
                <w:lang w:val="ru-RU"/>
              </w:rPr>
              <w:t>Пятнадцать</w:t>
            </w:r>
            <w:r>
              <w:rPr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rtl w:val="0"/>
                <w:lang w:val="ru-RU"/>
              </w:rPr>
              <w:t>календарных дней до дня отказа от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период Участия в Программе лояльности продлевается на </w:t>
            </w:r>
            <w:r>
              <w:rPr>
                <w:sz w:val="18"/>
                <w:szCs w:val="18"/>
                <w:rtl w:val="0"/>
                <w:lang w:val="ru-RU"/>
              </w:rPr>
              <w:t>12 (</w:t>
            </w:r>
            <w:r>
              <w:rPr>
                <w:sz w:val="18"/>
                <w:szCs w:val="18"/>
                <w:rtl w:val="0"/>
                <w:lang w:val="ru-RU"/>
              </w:rPr>
              <w:t>двенадцати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rtl w:val="0"/>
                <w:lang w:val="ru-RU"/>
              </w:rPr>
              <w:t>календарных месяцев каждый последующий раз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Поверенный имеет право продлить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приостановить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возобновить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закрыть размещение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995" w:hRule="atLeast"/>
        </w:trPr>
        <w:tc>
          <w:tcPr>
            <w:tcW w:type="dxa" w:w="10008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spacing w:line="200" w:lineRule="atLeast"/>
              <w:rPr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Условия Участия в Программе лояльности для Пользователей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1. </w:t>
            </w:r>
            <w:r>
              <w:rPr>
                <w:sz w:val="18"/>
                <w:szCs w:val="18"/>
                <w:rtl w:val="0"/>
                <w:lang w:val="ru-RU"/>
              </w:rPr>
              <w:t>Участие в Программе лояльности распространяется на весь ассортимент Товаров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Услуг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Работ Доверителя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2. </w:t>
            </w:r>
            <w:r>
              <w:rPr>
                <w:sz w:val="18"/>
                <w:szCs w:val="18"/>
                <w:rtl w:val="0"/>
                <w:lang w:val="ru-RU"/>
              </w:rPr>
              <w:t>Место проведения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en-US"/>
              </w:rPr>
              <w:t>${city}, ${placeAdress}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shd w:val="clear" w:color="auto" w:fill="ffffff"/>
                <w:rtl w:val="0"/>
              </w:rPr>
            </w:pP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 xml:space="preserve">3. </w:t>
            </w: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>График работы заведений</w:t>
            </w: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clear" w:color="auto" w:fill="ffffff"/>
                <w:rtl w:val="0"/>
                <w:lang w:val="en-US"/>
              </w:rPr>
              <w:t>${workingHours}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4. </w:t>
            </w:r>
            <w:r>
              <w:rPr>
                <w:sz w:val="18"/>
                <w:szCs w:val="18"/>
                <w:rtl w:val="0"/>
                <w:lang w:val="ru-RU"/>
              </w:rPr>
              <w:t>Телефон заведения</w:t>
            </w:r>
            <w:r>
              <w:rPr>
                <w:sz w:val="18"/>
                <w:szCs w:val="18"/>
                <w:rtl w:val="0"/>
                <w:lang w:val="ru-RU"/>
              </w:rPr>
              <w:t>: +7</w:t>
            </w:r>
            <w:r>
              <w:rPr>
                <w:sz w:val="18"/>
                <w:szCs w:val="18"/>
                <w:rtl w:val="0"/>
                <w:lang w:val="en-US"/>
              </w:rPr>
              <w:t> </w:t>
            </w:r>
            <w:r>
              <w:rPr>
                <w:sz w:val="18"/>
                <w:szCs w:val="18"/>
                <w:rtl w:val="0"/>
                <w:lang w:val="en-US"/>
              </w:rPr>
              <w:t>${placePhone}</w:t>
            </w:r>
          </w:p>
        </w:tc>
      </w:tr>
      <w:tr>
        <w:tblPrEx>
          <w:shd w:val="clear" w:color="auto" w:fill="d0ddef"/>
        </w:tblPrEx>
        <w:trPr>
          <w:trHeight w:val="395" w:hRule="atLeast"/>
        </w:trPr>
        <w:tc>
          <w:tcPr>
            <w:tcW w:type="dxa" w:w="734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Данные необходимые для авторизации в Личном кабинете логин и пароль высылаются Поверенным Доверителю на электронную почту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</w:p>
        </w:tc>
        <w:tc>
          <w:tcPr>
            <w:tcW w:type="dxa" w:w="266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${responsiblePartnerEmail}</w:t>
            </w:r>
          </w:p>
        </w:tc>
      </w:tr>
    </w:tbl>
    <w:tbl>
      <w:tblPr>
        <w:tblW w:w="1000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74"/>
        <w:gridCol w:w="4933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10007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</w:pPr>
            <w:r>
              <w:rPr>
                <w:sz w:val="18"/>
                <w:szCs w:val="18"/>
                <w:rtl w:val="0"/>
                <w:lang w:val="ru-RU"/>
              </w:rPr>
              <w:t>Подписанием настоящего Приложения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Доверитель подтверждает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что с Публичной офертой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размещенной в мобильном приложении «Рахмет» Поверенного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от имени Доверителя ознакомлен и согласен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856" w:hRule="atLeast"/>
        </w:trPr>
        <w:tc>
          <w:tcPr>
            <w:tcW w:type="dxa" w:w="507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00" w:lineRule="atLeast"/>
              <w:rPr>
                <w:rFonts w:ascii="Times New Roman" w:cs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Ответственный со стороны Доверителя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: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ФИО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${responsiblePartnerName}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E-mail: ${responsiblePartnerEmail}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Моб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.: +7 ${responsiblePartnerPhone}</w:t>
            </w:r>
          </w:p>
        </w:tc>
        <w:tc>
          <w:tcPr>
            <w:tcW w:type="dxa" w:w="493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00" w:lineRule="atLeast"/>
              <w:rPr>
                <w:rFonts w:ascii="Times New Roman" w:cs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Ответственный со стороны Поверенного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: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ФИО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${responsibleRahmetName}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E-mail: ${responsibleRahmetEmail}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Моб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.: +7 ${responsibleRahmetPhone}</w:t>
            </w:r>
          </w:p>
        </w:tc>
      </w:tr>
      <w:tr>
        <w:tblPrEx>
          <w:shd w:val="clear" w:color="auto" w:fill="d0ddef"/>
        </w:tblPrEx>
        <w:trPr>
          <w:trHeight w:val="200" w:hRule="atLeast"/>
        </w:trPr>
        <w:tc>
          <w:tcPr>
            <w:tcW w:type="dxa" w:w="10007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00" w:lineRule="atLeast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olor w:val="21798e"/>
                <w:sz w:val="18"/>
                <w:szCs w:val="18"/>
                <w:u w:color="21798e"/>
                <w:rtl w:val="0"/>
                <w:lang w:val="ru-RU"/>
              </w:rPr>
              <w:t>Реквизиты и подписи Сторон</w:t>
            </w:r>
            <w:r>
              <w:rPr>
                <w:rFonts w:ascii="Times New Roman" w:hAnsi="Times New Roman"/>
                <w:b w:val="1"/>
                <w:bCs w:val="1"/>
                <w:color w:val="21798e"/>
                <w:sz w:val="18"/>
                <w:szCs w:val="18"/>
                <w:u w:color="21798e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1694" w:hRule="atLeast"/>
        </w:trPr>
        <w:tc>
          <w:tcPr>
            <w:tcW w:type="dxa" w:w="507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Доверитель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${orgTypeShort}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«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${orgName}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» </w:t>
            </w:r>
          </w:p>
          <w:p>
            <w:pPr>
              <w:pStyle w:val="Normal.0"/>
              <w:spacing w:line="100" w:lineRule="atLeast"/>
              <w:rPr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Директор</w:t>
            </w:r>
          </w:p>
          <w:p>
            <w:pPr>
              <w:pStyle w:val="Normal.0"/>
              <w:spacing w:line="100" w:lineRule="atLeast"/>
              <w:rPr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 xml:space="preserve">________________ / 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en-US"/>
              </w:rPr>
              <w:t>${orgLeaderShortName}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М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93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18"/>
                <w:szCs w:val="18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  <w:lang w:val="ru-RU"/>
              </w:rPr>
              <w:t>Поверенный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ТОО «Интернет лояльность»</w:t>
            </w:r>
          </w:p>
          <w:p>
            <w:pPr>
              <w:pStyle w:val="No Spacing"/>
              <w:rPr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${attorneyPosition}</w:t>
            </w:r>
          </w:p>
          <w:p>
            <w:pPr>
              <w:pStyle w:val="No Spacing"/>
              <w:rPr>
                <w:b w:val="1"/>
                <w:bCs w:val="1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color w:val="000000"/>
                <w:sz w:val="18"/>
                <w:szCs w:val="18"/>
                <w:u w:color="ff0000"/>
                <w:rtl w:val="0"/>
                <w:lang w:val="ru-RU"/>
              </w:rPr>
              <w:t>________________/</w:t>
            </w:r>
            <w:r>
              <w:rPr>
                <w:b w:val="1"/>
                <w:bCs w:val="1"/>
                <w:color w:val="000000"/>
                <w:sz w:val="18"/>
                <w:szCs w:val="18"/>
                <w:u w:color="ff0000"/>
                <w:rtl w:val="0"/>
                <w:lang w:val="en-US"/>
              </w:rPr>
              <w:t>${attorneyShortName}</w:t>
            </w:r>
            <w:r>
              <w:rPr>
                <w:b w:val="1"/>
                <w:bCs w:val="1"/>
                <w:color w:val="000000"/>
                <w:sz w:val="18"/>
                <w:szCs w:val="18"/>
                <w:u w:color="ff0000"/>
                <w:rtl w:val="0"/>
                <w:lang w:val="ru-RU"/>
              </w:rPr>
              <w:t>/</w:t>
            </w:r>
            <w:r>
              <w:rPr>
                <w:b w:val="1"/>
                <w:bCs w:val="1"/>
                <w:color w:val="ff0000"/>
                <w:sz w:val="18"/>
                <w:szCs w:val="18"/>
                <w:u w:color="ff0000"/>
              </w:rPr>
            </w:r>
          </w:p>
        </w:tc>
      </w:tr>
    </w:tbl>
    <w:p>
      <w:pPr>
        <w:pStyle w:val="Normal.0"/>
        <w:widowControl w:val="0"/>
        <w:ind w:left="108" w:hanging="108"/>
        <w:jc w:val="center"/>
      </w:pPr>
      <w:r>
        <w:rPr>
          <w:b w:val="1"/>
          <w:bCs w:val="1"/>
          <w:sz w:val="18"/>
          <w:szCs w:val="18"/>
        </w:rPr>
      </w:r>
    </w:p>
    <w:sectPr>
      <w:headerReference w:type="default" r:id="rId4"/>
      <w:footerReference w:type="default" r:id="rId5"/>
      <w:pgSz w:w="11900" w:h="16840" w:orient="portrait"/>
      <w:pgMar w:top="833" w:right="851" w:bottom="836" w:left="93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1">
    <w:name w:val="Normal1"/>
    <w:next w:val="Normal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