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B201D"/>
          <w:sz w:val="40"/>
          <w:szCs w:val="40"/>
        </w:rPr>
        <w:t xml:space="preserve">MORIMATSU </w:t>
      </w:r>
      <w:r>
        <w:rPr>
          <w:rFonts w:ascii="Georgia" w:cs="Georgia" w:eastAsia="Georgia" w:hAnsi="Georgia"/>
          <w:b/>
          <w:bCs/>
          <w:color w:val="9C7A3C"/>
          <w:sz w:val="40"/>
          <w:szCs w:val="40"/>
        </w:rPr>
        <w:t xml:space="preserve">&amp; </w:t>
      </w:r>
      <w:r>
        <w:rPr>
          <w:rFonts w:ascii="Georgia" w:cs="Georgia" w:eastAsia="Georgia" w:hAnsi="Georgia"/>
          <w:b/>
          <w:bCs/>
          <w:color w:val="1B201D"/>
          <w:sz w:val="40"/>
          <w:szCs w:val="40"/>
        </w:rPr>
        <w:t xml:space="preserve">ASSOCIADOS</w:t>
      </w:r>
    </w:p>
    <w:p>
      <w:pPr>
        <w:spacing w:after="40"/>
      </w:pPr>
      <w:r>
        <w:rPr>
          <w:rFonts w:ascii="Georgia" w:cs="Georgia" w:eastAsia="Georgia" w:hAnsi="Georgia"/>
          <w:color w:val="1F4A3D"/>
          <w:spacing w:val="60"/>
          <w:sz w:val="17"/>
          <w:szCs w:val="17"/>
        </w:rPr>
        <w:t xml:space="preserve">GESTÃO PATRIMONIAL IMOBILIÁRIA</w:t>
      </w:r>
    </w:p>
    <w:p>
      <w:pPr>
        <w:pBdr>
          <w:bottom w:val="single" w:color="9C7A3C" w:sz="8"/>
        </w:pBdr>
        <w:spacing w:after="300"/>
      </w:pPr>
      <w:r>
        <w:rPr>
          <w:rFonts w:ascii="Georgia" w:cs="Georgia" w:eastAsia="Georgia" w:hAnsi="Georgia"/>
          <w:i/>
          <w:iCs/>
          <w:color w:val="6B7069"/>
          <w:sz w:val="20"/>
          <w:szCs w:val="20"/>
        </w:rPr>
        <w:t xml:space="preserve">Contrato de Assessoria em Aquisição de Imóveis — modelo v1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1B201D"/>
          <w:sz w:val="22"/>
          <w:szCs w:val="22"/>
        </w:rPr>
        <w:t xml:space="preserve">INSTRUMENTO PARTICULAR DE CONTRATO DE PRESTAÇÃO DE SERVIÇOS DE ASSESSORIA TÉCNICA E COMERCIAL EM AQUISIÇÃO DE IMÓVEIS</w:t>
      </w:r>
    </w:p>
    <w:p>
      <w:pPr>
        <w:spacing w:after="110" w:before="260"/>
      </w:pPr>
      <w:r>
        <w:rPr>
          <w:rFonts w:ascii="Georgia" w:cs="Georgia" w:eastAsia="Georgia" w:hAnsi="Georgia"/>
          <w:b/>
          <w:bCs/>
          <w:color w:val="9C7A3C"/>
          <w:sz w:val="22"/>
          <w:szCs w:val="22"/>
        </w:rPr>
        <w:t xml:space="preserve">CLÁUSULA 1ª — </w:t>
      </w:r>
      <w:r>
        <w:rPr>
          <w:rFonts w:ascii="Georgia" w:cs="Georgia" w:eastAsia="Georgia" w:hAnsi="Georgia"/>
          <w:b/>
          <w:bCs/>
          <w:color w:val="1F4A3D"/>
          <w:spacing w:val="15"/>
          <w:sz w:val="22"/>
          <w:szCs w:val="22"/>
        </w:rPr>
        <w:t xml:space="preserve">DAS PARTES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CONTRATANTE: 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[NOME COMPLETO / RAZÃO SOCIAL], [nacionalidade], [estado civil], [profissão], CPF/CNPJ nº [___], residente/estabelecido(a) em [endereço completo], doravante “CONTRATANTE”.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CONTRATADA: 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[RAZÃO SOCIAL DA MORIMATSU &amp; ASSOCIADOS], pessoa jurídica de direito privado, CNPJ nº [___], com sede em São José do Rio Preto/SP, neste ato representada por Paulo Morimatsu, doravante “CONTRATADA” ou “MORIMATSU”.</w:t>
      </w:r>
    </w:p>
    <w:p>
      <w:pPr>
        <w:spacing w:after="110" w:before="260"/>
      </w:pPr>
      <w:r>
        <w:rPr>
          <w:rFonts w:ascii="Georgia" w:cs="Georgia" w:eastAsia="Georgia" w:hAnsi="Georgia"/>
          <w:b/>
          <w:bCs/>
          <w:color w:val="9C7A3C"/>
          <w:sz w:val="22"/>
          <w:szCs w:val="22"/>
        </w:rPr>
        <w:t xml:space="preserve">CLÁUSULA 2ª — </w:t>
      </w:r>
      <w:r>
        <w:rPr>
          <w:rFonts w:ascii="Georgia" w:cs="Georgia" w:eastAsia="Georgia" w:hAnsi="Georgia"/>
          <w:b/>
          <w:bCs/>
          <w:color w:val="1F4A3D"/>
          <w:spacing w:val="15"/>
          <w:sz w:val="22"/>
          <w:szCs w:val="22"/>
        </w:rPr>
        <w:t xml:space="preserve">DO OBJETO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O presente contrato tem por objeto a prestação de serviços de assessoria técnica e comercial para aquisição de imóveis nas modalidades venda online, venda direta online, leilão extrajudicial e leilão judicial, compreendendo: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I — diagnóstico do perfil patrimonial e dos critérios de aquisição do CONTRATANTE;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II — curadoria e filtragem de oportunidades conforme perfil, região e faixa de valor;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III — análise de viabilidade comercial do imóvel, com levantamento do custo total da operação;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IV — coordenação da due diligence documental e processual, executada por sociedade de advocacia parceira;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V — representação operacional e atuação estratégica no certame ou na compra direta;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VI — acompanhamento pós-arrematação até a entrega das chaves, em conjunto com a assessoria jurídica contratada pelo CONTRATANTE;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VII — orientação sobre o destino do ativo adquirido (revenda ou locação).</w:t>
      </w:r>
    </w:p>
    <w:p>
      <w:pPr>
        <w:spacing w:after="110" w:before="260"/>
      </w:pPr>
      <w:r>
        <w:rPr>
          <w:rFonts w:ascii="Georgia" w:cs="Georgia" w:eastAsia="Georgia" w:hAnsi="Georgia"/>
          <w:b/>
          <w:bCs/>
          <w:color w:val="9C7A3C"/>
          <w:sz w:val="22"/>
          <w:szCs w:val="22"/>
        </w:rPr>
        <w:t xml:space="preserve">CLÁUSULA 3ª — </w:t>
      </w:r>
      <w:r>
        <w:rPr>
          <w:rFonts w:ascii="Georgia" w:cs="Georgia" w:eastAsia="Georgia" w:hAnsi="Georgia"/>
          <w:b/>
          <w:bCs/>
          <w:color w:val="1F4A3D"/>
          <w:spacing w:val="15"/>
          <w:sz w:val="22"/>
          <w:szCs w:val="22"/>
        </w:rPr>
        <w:t xml:space="preserve">DA NATUREZA DOS SERVIÇOS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Os serviços têm natureza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consultiva, técnica e comercial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, constituindo obrigação de meio, sem garantia de arrematação, de desocupação, de prazo ou de resultado econômico. 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Parágrafo único. 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Este contrato NÃO abrange atos privativos de advocacia (Lei 8.906/94). Pareceres jurídicos, medidas judiciais e extrajudiciais — inclusive imissão na posse, embargos, anulações e negociações de desocupação — serão prestados por sociedade de advocacia parceira indicada pela CONTRATADA, mediante contrato de honorários próprio e autônomo entre o CONTRATANTE e aquela sociedade.</w:t>
      </w:r>
    </w:p>
    <w:p>
      <w:pPr>
        <w:spacing w:after="110" w:before="260"/>
      </w:pPr>
      <w:r>
        <w:rPr>
          <w:rFonts w:ascii="Georgia" w:cs="Georgia" w:eastAsia="Georgia" w:hAnsi="Georgia"/>
          <w:b/>
          <w:bCs/>
          <w:color w:val="9C7A3C"/>
          <w:sz w:val="22"/>
          <w:szCs w:val="22"/>
        </w:rPr>
        <w:t xml:space="preserve">CLÁUSULA 4ª — </w:t>
      </w:r>
      <w:r>
        <w:rPr>
          <w:rFonts w:ascii="Georgia" w:cs="Georgia" w:eastAsia="Georgia" w:hAnsi="Georgia"/>
          <w:b/>
          <w:bCs/>
          <w:color w:val="1F4A3D"/>
          <w:spacing w:val="15"/>
          <w:sz w:val="22"/>
          <w:szCs w:val="22"/>
        </w:rPr>
        <w:t xml:space="preserve">DOS HONORÁRIOS</w:t>
      </w:r>
    </w:p>
    <w:tbl>
      <w:tblPr>
        <w:tblW w:type="dxa" w:w="9500"/>
        <w:tblBorders>
          <w:top w:val="single" w:color="C9CEC5" w:sz="4"/>
          <w:left w:val="single" w:color="C9CEC5" w:sz="4"/>
          <w:bottom w:val="single" w:color="C9CEC5" w:sz="4"/>
          <w:right w:val="single" w:color="C9CEC5" w:sz="4"/>
          <w:insideH w:val="single" w:color="C9CEC5" w:sz="4"/>
          <w:insideV w:val="single" w:color="C9CEC5" w:sz="4"/>
        </w:tblBorders>
      </w:tblPr>
      <w:tblGrid>
        <w:gridCol w:w="5200"/>
        <w:gridCol w:w="4300"/>
      </w:tblGrid>
      <w:tr>
        <w:tc>
          <w:tcPr>
            <w:tcW w:type="dxa" w:w="5200"/>
            <w:shd w:fill="ED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  <w:color w:val="1F4A3D"/>
                <w:sz w:val="19"/>
                <w:szCs w:val="19"/>
              </w:rPr>
              <w:t xml:space="preserve">PARCELA</w:t>
            </w:r>
          </w:p>
        </w:tc>
        <w:tc>
          <w:tcPr>
            <w:tcW w:type="dxa" w:w="4300"/>
            <w:shd w:fill="ED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  <w:color w:val="1F4A3D"/>
                <w:sz w:val="19"/>
                <w:szCs w:val="19"/>
              </w:rPr>
              <w:t xml:space="preserve">VALOR E CONDIÇÃO</w:t>
            </w:r>
          </w:p>
        </w:tc>
      </w:tr>
      <w:tr>
        <w:tc>
          <w:tcPr>
            <w:tcW w:type="dxa" w:w="5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(a) Análise por imóvel</w:t>
            </w:r>
          </w:p>
        </w:tc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R$ 500,00 por imóvel analisado, pagos antecipadamente.</w:t>
            </w:r>
          </w:p>
        </w:tc>
      </w:tr>
      <w:tr>
        <w:tc>
          <w:tcPr>
            <w:tcW w:type="dxa" w:w="5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(b) Participação em certame</w:t>
            </w:r>
          </w:p>
        </w:tc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R$ 500,00 por certame, pagos antecipadamente.</w:t>
            </w:r>
          </w:p>
        </w:tc>
      </w:tr>
      <w:tr>
        <w:tc>
          <w:tcPr>
            <w:tcW w:type="dxa" w:w="5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(c) Honorários de êxito</w:t>
            </w:r>
          </w:p>
        </w:tc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5% (cinco por cento) sobre o valor da arrematação ou da compra, observado o piso mínimo de R$ 6.000,00 (seis mil reais), devidos e exigíveis na data da arrematação/assinatura da compra.</w:t>
            </w:r>
          </w:p>
        </w:tc>
      </w:tr>
    </w:tbl>
    <w:p>
      <w:pPr>
        <w:spacing w:after="100" w:before="160"/>
        <w:jc w:val="both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§1º 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Em caso de arrematação, o valor da parcela (b) será deduzido dos honorários de êxito (c).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§2º 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Não havendo arrematação, as parcelas (a) e (b) permanecem com a CONTRATADA como remuneração dos serviços efetivamente executados.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§3º 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O atraso no pagamento implicará multa de 10%, juros de 1% ao mês e correção monetária pelo IPCA.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§4º 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Os honorários de êxito serão devidos ainda que o CONTRATANTE, diretamente ou por interposta pessoa, arremate ou adquira imóvel apresentado ou analisado pela CONTRATADA, no prazo de 12 (doze) meses contados da apresentação.</w:t>
      </w:r>
    </w:p>
    <w:p>
      <w:pPr>
        <w:spacing w:after="110" w:before="260"/>
      </w:pPr>
      <w:r>
        <w:rPr>
          <w:rFonts w:ascii="Georgia" w:cs="Georgia" w:eastAsia="Georgia" w:hAnsi="Georgia"/>
          <w:b/>
          <w:bCs/>
          <w:color w:val="9C7A3C"/>
          <w:sz w:val="22"/>
          <w:szCs w:val="22"/>
        </w:rPr>
        <w:t xml:space="preserve">CLÁUSULA 5ª — </w:t>
      </w:r>
      <w:r>
        <w:rPr>
          <w:rFonts w:ascii="Georgia" w:cs="Georgia" w:eastAsia="Georgia" w:hAnsi="Georgia"/>
          <w:b/>
          <w:bCs/>
          <w:color w:val="1F4A3D"/>
          <w:spacing w:val="15"/>
          <w:sz w:val="22"/>
          <w:szCs w:val="22"/>
        </w:rPr>
        <w:t xml:space="preserve">DAS DESPESAS DO CONTRATANTE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Correm exclusivamente por conta do CONTRATANTE: valor do lance/arrematação, comissão do leiloeiro, ITBI, emolumentos de registro e cartório, certidões, débitos incidentes sobre o imóvel (tributários, condominiais e demais passivos propter rem), custas processuais, honorários da sociedade de advocacia e despesas de deslocamento fora da comarca de São José do Rio Preto/SP, estas últimas previamente comunicadas.</w:t>
      </w:r>
    </w:p>
    <w:p>
      <w:pPr>
        <w:spacing w:after="110" w:before="260"/>
      </w:pPr>
      <w:r>
        <w:rPr>
          <w:rFonts w:ascii="Georgia" w:cs="Georgia" w:eastAsia="Georgia" w:hAnsi="Georgia"/>
          <w:b/>
          <w:bCs/>
          <w:color w:val="9C7A3C"/>
          <w:sz w:val="22"/>
          <w:szCs w:val="22"/>
        </w:rPr>
        <w:t xml:space="preserve">CLÁUSULA 6ª — </w:t>
      </w:r>
      <w:r>
        <w:rPr>
          <w:rFonts w:ascii="Georgia" w:cs="Georgia" w:eastAsia="Georgia" w:hAnsi="Georgia"/>
          <w:b/>
          <w:bCs/>
          <w:color w:val="1F4A3D"/>
          <w:spacing w:val="15"/>
          <w:sz w:val="22"/>
          <w:szCs w:val="22"/>
        </w:rPr>
        <w:t xml:space="preserve">DA EXCLUSIVIDADE DE DESTINO DO ATIVO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O CONTRATANTE outorga às empresas do grupo PSM (PSM Assessoria &amp; Negócios Imobiliários e/ou PSM Imóveis), indicadas pela CONTRATADA,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exclusividade na intermediação da revenda e/ou locação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 de todo imóvel adquirido com a assessoria objeto deste contrato, pelo prazo de 180 (cento e oitenta) dias contados da disponibilização do imóvel para revenda ou locação, prorrogável automaticamente por iguais períodos enquanto perdurar a oferta, nas condições de corretagem praticadas pelo mercado local.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Parágrafo único. 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A alienação ou locação do imóvel a terceiros no período de exclusividade, sem a intermediação das empresas indicadas, sujeitará o CONTRATANTE ao pagamento da corretagem integral que seria devida, a título de multa compensatória.</w:t>
      </w:r>
    </w:p>
    <w:p>
      <w:pPr>
        <w:spacing w:after="110" w:before="260"/>
      </w:pPr>
      <w:r>
        <w:rPr>
          <w:rFonts w:ascii="Georgia" w:cs="Georgia" w:eastAsia="Georgia" w:hAnsi="Georgia"/>
          <w:b/>
          <w:bCs/>
          <w:color w:val="9C7A3C"/>
          <w:sz w:val="22"/>
          <w:szCs w:val="22"/>
        </w:rPr>
        <w:t xml:space="preserve">CLÁUSULA 7ª — </w:t>
      </w:r>
      <w:r>
        <w:rPr>
          <w:rFonts w:ascii="Georgia" w:cs="Georgia" w:eastAsia="Georgia" w:hAnsi="Georgia"/>
          <w:b/>
          <w:bCs/>
          <w:color w:val="1F4A3D"/>
          <w:spacing w:val="15"/>
          <w:sz w:val="22"/>
          <w:szCs w:val="22"/>
        </w:rPr>
        <w:t xml:space="preserve">DAS OBRIGAÇÕES DO CONTRATANTE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I — fornecer informações e documentos completos e verídicos, inclusive quanto à disponibilidade de recursos;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II — manter recursos disponíveis para pagamento do lance nos prazos do edital (em regra, 24–48h);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III — declarar eventual condição de empregado da instituição credora ou vínculo de parentesco, quando o edital o exigir (ex.: leilões CAIXA);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IV — comunicar imediatamente fatos relevantes e mudanças de dados de contato;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V — não utilizar as análises, pareceres e curadorias para aquisição sem a participação da CONTRATADA, sob pena da Cláusula 4ª, §4º.</w:t>
      </w:r>
    </w:p>
    <w:p>
      <w:pPr>
        <w:spacing w:after="110" w:before="260"/>
      </w:pPr>
      <w:r>
        <w:rPr>
          <w:rFonts w:ascii="Georgia" w:cs="Georgia" w:eastAsia="Georgia" w:hAnsi="Georgia"/>
          <w:b/>
          <w:bCs/>
          <w:color w:val="9C7A3C"/>
          <w:sz w:val="22"/>
          <w:szCs w:val="22"/>
        </w:rPr>
        <w:t xml:space="preserve">CLÁUSULA 8ª — </w:t>
      </w:r>
      <w:r>
        <w:rPr>
          <w:rFonts w:ascii="Georgia" w:cs="Georgia" w:eastAsia="Georgia" w:hAnsi="Georgia"/>
          <w:b/>
          <w:bCs/>
          <w:color w:val="1F4A3D"/>
          <w:spacing w:val="15"/>
          <w:sz w:val="22"/>
          <w:szCs w:val="22"/>
        </w:rPr>
        <w:t xml:space="preserve">DA CONFIDENCIALIDADE E DA PROTEÇÃO DE DADOS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As partes manterão sigilo sobre informações negociais, financeiras e patrimoniais a que tiverem acesso, subsistindo o dever após o encerramento do contrato. O tratamento de dados pessoais observará a Lei 13.709/2018 (LGPD), limitado às finalidades deste contrato, garantidos ao titular os direitos de acesso, correção e eliminação, ressalvadas as hipóteses legais de retenção.</w:t>
      </w:r>
    </w:p>
    <w:p>
      <w:pPr>
        <w:spacing w:after="110" w:before="260"/>
      </w:pPr>
      <w:r>
        <w:rPr>
          <w:rFonts w:ascii="Georgia" w:cs="Georgia" w:eastAsia="Georgia" w:hAnsi="Georgia"/>
          <w:b/>
          <w:bCs/>
          <w:color w:val="9C7A3C"/>
          <w:sz w:val="22"/>
          <w:szCs w:val="22"/>
        </w:rPr>
        <w:t xml:space="preserve">CLÁUSULA 9ª — </w:t>
      </w:r>
      <w:r>
        <w:rPr>
          <w:rFonts w:ascii="Georgia" w:cs="Georgia" w:eastAsia="Georgia" w:hAnsi="Georgia"/>
          <w:b/>
          <w:bCs/>
          <w:color w:val="1F4A3D"/>
          <w:spacing w:val="15"/>
          <w:sz w:val="22"/>
          <w:szCs w:val="22"/>
        </w:rPr>
        <w:t xml:space="preserve">DA VIGÊNCIA E DA RESCISÃO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O contrato vigora por 12 (doze) meses, renovando-se automaticamente por iguais períodos, podendo ser rescindido por qualquer das partes mediante aviso prévio de 30 (trinta) dias.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Parágrafo único. 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A rescisão não afeta: (i) honorários devidos por serviços já executados; (ii) honorários de êxito de operações em curso ou enquadradas na Cláusula 4ª, §4º; (iii) a exclusividade da Cláusula 6ª quanto aos imóveis já adquiridos.</w:t>
      </w:r>
    </w:p>
    <w:p>
      <w:pPr>
        <w:spacing w:after="110" w:before="260"/>
      </w:pPr>
      <w:r>
        <w:rPr>
          <w:rFonts w:ascii="Georgia" w:cs="Georgia" w:eastAsia="Georgia" w:hAnsi="Georgia"/>
          <w:b/>
          <w:bCs/>
          <w:color w:val="9C7A3C"/>
          <w:sz w:val="22"/>
          <w:szCs w:val="22"/>
        </w:rPr>
        <w:t xml:space="preserve">CLÁUSULA 10ª — </w:t>
      </w:r>
      <w:r>
        <w:rPr>
          <w:rFonts w:ascii="Georgia" w:cs="Georgia" w:eastAsia="Georgia" w:hAnsi="Georgia"/>
          <w:b/>
          <w:bCs/>
          <w:color w:val="1F4A3D"/>
          <w:spacing w:val="15"/>
          <w:sz w:val="22"/>
          <w:szCs w:val="22"/>
        </w:rPr>
        <w:t xml:space="preserve">DAS DISPOSIÇÕES FINAIS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As comunicações formais serão feitas por e-mail e WhatsApp indicados pelas partes. As partes reconhecem a validade das assinaturas eletrônicas. Fica eleito o foro da Comarca de São José do Rio Preto/SP. Este instrumento constitui título executivo extrajudicial, assinado em 2 (duas) vias na presença de 2 (duas) testemunhas.</w:t>
      </w:r>
    </w:p>
    <w:p>
      <w:pPr>
        <w:spacing w:after="200" w:before="400"/>
        <w:jc w:val="both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São José do Rio Preto/SP, ____ de ______________ de 20____.</w:t>
      </w:r>
    </w:p>
    <w:p>
      <w:pPr>
        <w:spacing w:after="0" w:before="50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_________________________________________</w:t>
      </w:r>
    </w:p>
    <w:p>
      <w:pPr>
        <w:spacing w:after="20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[NOME DO CONTRATANTE]</w:t>
      </w:r>
    </w:p>
    <w:p>
      <w:pPr>
        <w:spacing w:after="160"/>
      </w:pPr>
      <w:r>
        <w:rPr>
          <w:rFonts w:ascii="Georgia" w:cs="Georgia" w:eastAsia="Georgia" w:hAnsi="Georgia"/>
          <w:color w:val="6B7069"/>
          <w:sz w:val="18"/>
          <w:szCs w:val="18"/>
        </w:rPr>
        <w:t xml:space="preserve">CONTRATANTE</w:t>
      </w:r>
    </w:p>
    <w:p>
      <w:pPr>
        <w:spacing w:after="0" w:before="50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_________________________________________</w:t>
      </w:r>
    </w:p>
    <w:p>
      <w:pPr>
        <w:spacing w:after="20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MORIMATSU &amp; ASSOCIADOS — [razão social] · Paulo Morimatsu</w:t>
      </w:r>
    </w:p>
    <w:p>
      <w:pPr>
        <w:spacing w:after="160"/>
      </w:pPr>
      <w:r>
        <w:rPr>
          <w:rFonts w:ascii="Georgia" w:cs="Georgia" w:eastAsia="Georgia" w:hAnsi="Georgia"/>
          <w:color w:val="6B7069"/>
          <w:sz w:val="18"/>
          <w:szCs w:val="18"/>
        </w:rPr>
        <w:t xml:space="preserve">CONTRATADA</w:t>
      </w:r>
    </w:p>
    <w:p>
      <w:pPr>
        <w:spacing w:after="60" w:before="300"/>
      </w:pPr>
      <w:r>
        <w:rPr>
          <w:rFonts w:ascii="Georgia" w:cs="Georgia" w:eastAsia="Georgia" w:hAnsi="Georgia"/>
          <w:b/>
          <w:bCs/>
          <w:color w:val="6B7069"/>
          <w:sz w:val="19"/>
          <w:szCs w:val="19"/>
        </w:rPr>
        <w:t xml:space="preserve">TESTEMUNHAS: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1. Nome: ____________________________________  CPF: ____________________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2. Nome: ____________________________________  CPF: ____________________</w:t>
      </w:r>
    </w:p>
    <w:sectPr>
      <w:pgSz w:w="11906" w:h="16838" w:orient="portrait"/>
      <w:pgMar w:top="1300" w:right="1450" w:bottom="1200" w:left="14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B20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2026-09-01T23:27:11.867Z</dcterms:created>
  <dcterms:modified xsi:type="dcterms:W3CDTF">2026-09-01T23:27:11.867Z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