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B201D"/>
          <w:sz w:val="40"/>
          <w:szCs w:val="40"/>
        </w:rPr>
        <w:t xml:space="preserve">MORIMATSU </w:t>
      </w:r>
      <w:r>
        <w:rPr>
          <w:rFonts w:ascii="Georgia" w:cs="Georgia" w:eastAsia="Georgia" w:hAnsi="Georgia"/>
          <w:b/>
          <w:bCs/>
          <w:color w:val="9C7A3C"/>
          <w:sz w:val="40"/>
          <w:szCs w:val="40"/>
        </w:rPr>
        <w:t xml:space="preserve">&amp; </w:t>
      </w:r>
      <w:r>
        <w:rPr>
          <w:rFonts w:ascii="Georgia" w:cs="Georgia" w:eastAsia="Georgia" w:hAnsi="Georgia"/>
          <w:b/>
          <w:bCs/>
          <w:color w:val="1B201D"/>
          <w:sz w:val="40"/>
          <w:szCs w:val="40"/>
        </w:rPr>
        <w:t xml:space="preserve">ASSOCIADOS</w:t>
      </w:r>
    </w:p>
    <w:p>
      <w:pPr>
        <w:spacing w:after="40"/>
      </w:pPr>
      <w:r>
        <w:rPr>
          <w:rFonts w:ascii="Georgia" w:cs="Georgia" w:eastAsia="Georgia" w:hAnsi="Georgia"/>
          <w:color w:val="1F4A3D"/>
          <w:spacing w:val="60"/>
          <w:sz w:val="17"/>
          <w:szCs w:val="17"/>
        </w:rPr>
        <w:t xml:space="preserve">GESTÃO PATRIMONIAL IMOBILIÁRIA</w:t>
      </w:r>
    </w:p>
    <w:p>
      <w:pPr>
        <w:pBdr>
          <w:bottom w:val="single" w:color="9C7A3C" w:sz="8"/>
        </w:pBdr>
        <w:spacing w:after="300"/>
      </w:pPr>
      <w:r>
        <w:rPr>
          <w:rFonts w:ascii="Georgia" w:cs="Georgia" w:eastAsia="Georgia" w:hAnsi="Georgia"/>
          <w:i/>
          <w:iCs/>
          <w:color w:val="6B7069"/>
          <w:sz w:val="20"/>
          <w:szCs w:val="20"/>
        </w:rPr>
        <w:t xml:space="preserve">Ficha de Pré-Cadastro do Investidor — v2 · etapa 01 do funil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PROPÓSITO E USO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Primeiro filtro do funil Morimatsu. Evolui a ficha GM v1 (mai/2026) com quatro upgrades: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(1) roteio automático das duas portas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 (investidor Morimatsu × moradia MCMV → PSM Conquista);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(2) validação capital × faixa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;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(3) trava CAIXA automática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;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(4) score de fit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 calculado com os critérios que eram checklist manual. Implementação: Google Form já (interino) → formulário nativo no House PSM na Onda 3, caindo direto no kanban Investidores.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SLA de retorno: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48 horas úteis. Tempo de preenchimento: 5–7 minutos. LGPD: consentimento obrigatório ao final.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SEÇÃO 1 — IDENTIFICAÇÃO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1.1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Nome completo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[resposta curta · obrigatória]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1.2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Telefone (WhatsApp)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[resposta curta com validação de número · obrigatória]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6B7069"/>
          <w:sz w:val="19"/>
          <w:szCs w:val="19"/>
        </w:rPr>
        <w:t xml:space="preserve">Ajuda: Inclua o DDD.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1.3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E-mail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[coletado automaticamente · obrigatória]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1.4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Cidade onde mora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[resposta curta · obrigatória]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1.5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Você é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[múltipla escolha (única) · obrigatória]</w:t>
      </w:r>
    </w:p>
    <w:p>
      <w:pPr>
        <w:spacing w:after="60" w:line="280"/>
      </w:pPr>
      <w:r>
        <w:rPr>
          <w:rFonts w:ascii="Georgia" w:cs="Georgia" w:eastAsia="Georgia" w:hAnsi="Georgia"/>
          <w:color w:val="1B201D"/>
          <w:sz w:val="19"/>
          <w:szCs w:val="19"/>
        </w:rPr>
        <w:t xml:space="preserve">Opções: Pessoa física  ·  Pessoa jurídica  ·  Represento empresa, mas a compra será em meu nome (PF)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SEÇÃO 2 — OBJETIVO (PERGUNTA-CHAVE DO ROTEIO)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2.1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Qual o seu objetivo com a aquisição?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[múltipla escolha (única) · obrigatória]</w:t>
      </w:r>
    </w:p>
    <w:p>
      <w:pPr>
        <w:spacing w:after="60" w:line="280"/>
      </w:pPr>
      <w:r>
        <w:rPr>
          <w:rFonts w:ascii="Georgia" w:cs="Georgia" w:eastAsia="Georgia" w:hAnsi="Georgia"/>
          <w:color w:val="1B201D"/>
          <w:sz w:val="19"/>
          <w:szCs w:val="19"/>
        </w:rPr>
        <w:t xml:space="preserve">Opções: REVENDA — comprar abaixo do mercado e revender  ·  RENDA — comprar para alugar  ·  USO PRÓPRIO — moradia ou ponto comercial  ·  INDEFINIDO — ainda avaliando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2.2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Como pretende pagar?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[múltipla escolha (única) · obrigatória]</w:t>
      </w:r>
    </w:p>
    <w:p>
      <w:pPr>
        <w:spacing w:after="60" w:line="280"/>
      </w:pPr>
      <w:r>
        <w:rPr>
          <w:rFonts w:ascii="Georgia" w:cs="Georgia" w:eastAsia="Georgia" w:hAnsi="Georgia"/>
          <w:color w:val="1B201D"/>
          <w:sz w:val="19"/>
          <w:szCs w:val="19"/>
        </w:rPr>
        <w:t xml:space="preserve">Opções: À vista, recursos próprios  ·  À vista, mobilizando parte dos recursos  ·  Preciso de financiamento bancário  ·  FGTS + financiamento (MCMV)</w:t>
      </w:r>
    </w:p>
    <w:p>
      <w:pPr>
        <w:spacing w:after="120" w:before="14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REGRA DE ROTEIO (Porta 2):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objetivo USO PRÓPRIO + pagamento com financiamento/MCMV + faixa até R$ 400 mil → o lead NÃO entra na esteira Morimatsu: vai para a vitrine PSM Conquista (retomados desocupados financiáveis), com mensagem própria. A marca Morimatsu não fala com comprador MCMV.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SEÇÃO 3 — MODALIDADES DE INTERESSE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3.1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Quais modalidades interessam?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[caixas de seleção (múltipla) · obrigatória]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6B7069"/>
          <w:sz w:val="19"/>
          <w:szCs w:val="19"/>
        </w:rPr>
        <w:t xml:space="preserve">Ajuda: Pode marcar mais de uma. A equipe orienta.</w:t>
      </w:r>
    </w:p>
    <w:p>
      <w:pPr>
        <w:spacing w:after="60" w:line="280"/>
      </w:pPr>
      <w:r>
        <w:rPr>
          <w:rFonts w:ascii="Georgia" w:cs="Georgia" w:eastAsia="Georgia" w:hAnsi="Georgia"/>
          <w:color w:val="1B201D"/>
          <w:sz w:val="19"/>
          <w:szCs w:val="19"/>
        </w:rPr>
        <w:t xml:space="preserve">Opções: 01 · Venda Online (portais de bancos, com disputa)  ·  02 · Venda Direta Online (sem disputa, condições do banco)  ·  03 · Leilão Extrajudicial (conduzido pelo credor)  ·  04 · Leilão Judicial (determinado por juiz)  ·  Não sei diferenciar — quero orientação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SEÇÃO 4 — PERFIL DO IMÓVEL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4.1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Categoria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[múltipla · obrigatória]</w:t>
      </w:r>
    </w:p>
    <w:p>
      <w:pPr>
        <w:spacing w:after="60" w:line="280"/>
      </w:pPr>
      <w:r>
        <w:rPr>
          <w:rFonts w:ascii="Georgia" w:cs="Georgia" w:eastAsia="Georgia" w:hAnsi="Georgia"/>
          <w:color w:val="1B201D"/>
          <w:sz w:val="19"/>
          <w:szCs w:val="19"/>
        </w:rPr>
        <w:t xml:space="preserve">Opções: Residencial  ·  Comercial  ·  Industrial  ·  Rural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4.2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Tipo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[múltipla · obrigatória]</w:t>
      </w:r>
    </w:p>
    <w:p>
      <w:pPr>
        <w:spacing w:after="60" w:line="280"/>
      </w:pPr>
      <w:r>
        <w:rPr>
          <w:rFonts w:ascii="Georgia" w:cs="Georgia" w:eastAsia="Georgia" w:hAnsi="Georgia"/>
          <w:color w:val="1B201D"/>
          <w:sz w:val="19"/>
          <w:szCs w:val="19"/>
        </w:rPr>
        <w:t xml:space="preserve">Opções: Casa  ·  Apartamento  ·  Terreno  ·  Sítio/Chácara/Fazenda  ·  Barracão/Salão  ·  Sala comercial/Loja  ·  Outro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4.3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Faixa de valor do imóvel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[múltipla · obrigatória]</w:t>
      </w:r>
    </w:p>
    <w:p>
      <w:pPr>
        <w:spacing w:after="60" w:line="280"/>
      </w:pPr>
      <w:r>
        <w:rPr>
          <w:rFonts w:ascii="Georgia" w:cs="Georgia" w:eastAsia="Georgia" w:hAnsi="Georgia"/>
          <w:color w:val="1B201D"/>
          <w:sz w:val="19"/>
          <w:szCs w:val="19"/>
        </w:rPr>
        <w:t xml:space="preserve">Opções: Até R$ 100 mil  ·  R$ 100–180 mil (foco CAIXA)  ·  R$ 180–300 mil  ·  R$ 300–500 mil  ·  R$ 500 mil–1 milhão  ·  Acima de R$ 1 milhão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4.4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Região de interesse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[múltipla · obrigatória]</w:t>
      </w:r>
    </w:p>
    <w:p>
      <w:pPr>
        <w:spacing w:after="60" w:line="280"/>
      </w:pPr>
      <w:r>
        <w:rPr>
          <w:rFonts w:ascii="Georgia" w:cs="Georgia" w:eastAsia="Georgia" w:hAnsi="Georgia"/>
          <w:color w:val="1B201D"/>
          <w:sz w:val="19"/>
          <w:szCs w:val="19"/>
        </w:rPr>
        <w:t xml:space="preserve">Opções: São José do Rio Preto  ·  Mirassol  ·  Bady Bassitt  ·  Cedral  ·  Guapiaçu  ·  Bálsamo  ·  Neves Paulista  ·  Jaci  ·  Ipiguá  ·  Outra (especificar)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4.5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Estado de ocupação aceito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[única · obrigatória]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6B7069"/>
          <w:sz w:val="19"/>
          <w:szCs w:val="19"/>
        </w:rPr>
        <w:t xml:space="preserve">Ajuda: Imóvel ocupado exige ação de desocupação/imissão — custo e prazo extras, precificados ANTES do lance.</w:t>
      </w:r>
    </w:p>
    <w:p>
      <w:pPr>
        <w:spacing w:after="60" w:line="280"/>
      </w:pPr>
      <w:r>
        <w:rPr>
          <w:rFonts w:ascii="Georgia" w:cs="Georgia" w:eastAsia="Georgia" w:hAnsi="Georgia"/>
          <w:color w:val="1B201D"/>
          <w:sz w:val="19"/>
          <w:szCs w:val="19"/>
        </w:rPr>
        <w:t xml:space="preserve">Opções: Preferência por desocupado  ·  Aceito ocupado  ·  Indiferente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SEÇÃO 5 — RECURSOS (VALIDAÇÃO CAPITAL × FAIXA)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5.1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Capital disponível para a operação (lance + custas)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[única · obrigatória]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6B7069"/>
          <w:sz w:val="19"/>
          <w:szCs w:val="19"/>
        </w:rPr>
        <w:t xml:space="preserve">Ajuda: Em leilão o pagamento é à vista, em regra 24–48h após a arrematação. Reserve ~15–20% além do lance para custas.</w:t>
      </w:r>
    </w:p>
    <w:p>
      <w:pPr>
        <w:spacing w:after="60" w:line="280"/>
      </w:pPr>
      <w:r>
        <w:rPr>
          <w:rFonts w:ascii="Georgia" w:cs="Georgia" w:eastAsia="Georgia" w:hAnsi="Georgia"/>
          <w:color w:val="1B201D"/>
          <w:sz w:val="19"/>
          <w:szCs w:val="19"/>
        </w:rPr>
        <w:t xml:space="preserve">Opções: Até R$ 100 mil  ·  R$ 100–200 mil  ·  R$ 200–400 mil  ·  R$ 400 mil–1 milhão  ·  Acima de R$ 1 milhão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5.2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Disponibilidade do recurso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[única · obrigatória]</w:t>
      </w:r>
    </w:p>
    <w:p>
      <w:pPr>
        <w:spacing w:after="60" w:line="280"/>
      </w:pPr>
      <w:r>
        <w:rPr>
          <w:rFonts w:ascii="Georgia" w:cs="Georgia" w:eastAsia="Georgia" w:hAnsi="Georgia"/>
          <w:color w:val="1B201D"/>
          <w:sz w:val="19"/>
          <w:szCs w:val="19"/>
        </w:rPr>
        <w:t xml:space="preserve">Opções: Disponível imediato  ·  Parcialmente — mobilizo em dias  ·  Em mobilização — até 30 dias  ·  Mais de 30 dias</w:t>
      </w:r>
    </w:p>
    <w:p>
      <w:pPr>
        <w:spacing w:after="120" w:before="12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VALIDAÇÃO AUTOMÁTICA: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capital declarado menor que a menor faixa de imóvel marcada = alerta amarelo no card (expectativa desalinhada — tratar na qualificação).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SEÇÃO 6 — DECLARAÇÃO CAIXA (TRAVA AUTOMÁTICA)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6.1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É empregado(a) da CAIXA Econômica Federal?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[única · obrigatória]</w:t>
      </w:r>
    </w:p>
    <w:p>
      <w:pPr>
        <w:spacing w:after="60" w:line="280"/>
      </w:pPr>
      <w:r>
        <w:rPr>
          <w:rFonts w:ascii="Georgia" w:cs="Georgia" w:eastAsia="Georgia" w:hAnsi="Georgia"/>
          <w:color w:val="1B201D"/>
          <w:sz w:val="19"/>
          <w:szCs w:val="19"/>
        </w:rPr>
        <w:t xml:space="preserve">Opções: Não  ·  Sim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6.2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Possui parentesco com empregado(a) da CAIXA?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[única · obrigatória]</w:t>
      </w:r>
    </w:p>
    <w:p>
      <w:pPr>
        <w:spacing w:after="60" w:line="280"/>
      </w:pPr>
      <w:r>
        <w:rPr>
          <w:rFonts w:ascii="Georgia" w:cs="Georgia" w:eastAsia="Georgia" w:hAnsi="Georgia"/>
          <w:color w:val="1B201D"/>
          <w:sz w:val="19"/>
          <w:szCs w:val="19"/>
        </w:rPr>
        <w:t xml:space="preserve">Opções: Não  ·  Sim — especificar grau</w:t>
      </w:r>
    </w:p>
    <w:p>
      <w:pPr>
        <w:spacing w:after="120" w:before="12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TRAVA AUTOMÁTICA: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qualquer “Sim” = etiqueta vermelha no card; leilões CAIXA bloqueados para este cliente até avaliação do sócio. Demais modalidades seguem normais.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SEÇÃO 7 — ORIGEM E OBSERVAÇÕES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7.1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Como conheceu a Morimatsu &amp; Associados?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[única · obrigatória]</w:t>
      </w:r>
    </w:p>
    <w:p>
      <w:pPr>
        <w:spacing w:after="60" w:line="280"/>
      </w:pPr>
      <w:r>
        <w:rPr>
          <w:rFonts w:ascii="Georgia" w:cs="Georgia" w:eastAsia="Georgia" w:hAnsi="Georgia"/>
          <w:color w:val="1B201D"/>
          <w:sz w:val="19"/>
          <w:szCs w:val="19"/>
        </w:rPr>
        <w:t xml:space="preserve">Opções: Indicação (quem?)  ·  Instagram/LinkedIn  ·  Canal P&amp;A no WhatsApp  ·  Google  ·  Apresentação/evento  ·  Outro</w:t>
      </w:r>
    </w:p>
    <w:p>
      <w:pPr>
        <w:spacing w:after="40" w:before="170"/>
      </w:pP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7.2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Algo específico a informar ou perguntar?</w:t>
      </w:r>
      <w:r>
        <w:rPr>
          <w:rFonts w:ascii="Georgia" w:cs="Georgia" w:eastAsia="Georgia" w:hAnsi="Georgia"/>
          <w:color w:val="6B7069"/>
          <w:sz w:val="17"/>
          <w:szCs w:val="17"/>
        </w:rPr>
        <w:t xml:space="preserve">   [parágrafo · opcional]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SEÇÃO 8 — CONSENTIMENTO LGPD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“Ao enviar, autorizo a Morimatsu &amp; Associados a coletar e tratar os dados aqui informados exclusivamente para: avaliar meu perfil de investimento; filtrar oportunidades nos meus critérios; operacionalizar a prestação de serviços de assessoria; cumprir obrigações legais. Os dados não serão compartilhados com terceiros para marketing. Posso solicitar acesso, correção ou exclusão pelo e-mail [e-mail oficial].” — caixa de aceite obrigatória.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SCORE DE FIT (CÁLCULO AUTOMÁTICO)</w:t>
      </w:r>
    </w:p>
    <w:tbl>
      <w:tblPr>
        <w:tblW w:type="dxa" w:w="9500"/>
        <w:tblBorders>
          <w:top w:val="single" w:color="C9CEC5" w:sz="4"/>
          <w:left w:val="single" w:color="C9CEC5" w:sz="4"/>
          <w:bottom w:val="single" w:color="C9CEC5" w:sz="4"/>
          <w:right w:val="single" w:color="C9CEC5" w:sz="4"/>
          <w:insideH w:val="single" w:color="C9CEC5" w:sz="4"/>
          <w:insideV w:val="single" w:color="C9CEC5" w:sz="4"/>
        </w:tblBorders>
      </w:tblPr>
      <w:tblGrid>
        <w:gridCol w:w="5600"/>
        <w:gridCol w:w="1700"/>
        <w:gridCol w:w="2200"/>
      </w:tblGrid>
      <w:tr>
        <w:tc>
          <w:tcPr>
            <w:tcW w:type="dxa" w:w="5600"/>
            <w:shd w:fill="ED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1F4A3D"/>
                <w:sz w:val="19"/>
                <w:szCs w:val="19"/>
              </w:rPr>
              <w:t xml:space="preserve">CRITÉRIO</w:t>
            </w:r>
          </w:p>
        </w:tc>
        <w:tc>
          <w:tcPr>
            <w:tcW w:type="dxa" w:w="1700"/>
            <w:shd w:fill="ED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1F4A3D"/>
                <w:sz w:val="19"/>
                <w:szCs w:val="19"/>
              </w:rPr>
              <w:t xml:space="preserve">PESO</w:t>
            </w:r>
          </w:p>
        </w:tc>
        <w:tc>
          <w:tcPr>
            <w:tcW w:type="dxa" w:w="2200"/>
            <w:shd w:fill="ED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1F4A3D"/>
                <w:sz w:val="19"/>
                <w:szCs w:val="19"/>
              </w:rPr>
              <w:t xml:space="preserve">VERDE SE…</w:t>
            </w:r>
          </w:p>
        </w:tc>
      </w:tr>
      <w:t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Faixa de valor compatível com o portfólio (foco 100–180k)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25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faixa foco marcada</w:t>
            </w:r>
          </w:p>
        </w:tc>
      </w:tr>
      <w:t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Região dentro do raio de operação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cidade do raio</w:t>
            </w:r>
          </w:p>
        </w:tc>
      </w:tr>
      <w:t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Modalidade dentro do escopo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qualquer das 4</w:t>
            </w:r>
          </w:p>
        </w:tc>
      </w:tr>
      <w:t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Capital compatível com a faixa marcada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30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capital ≥ faixa</w:t>
            </w:r>
          </w:p>
        </w:tc>
      </w:tr>
      <w:t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Recurso disponível em até 30 dias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20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imediato ou ≤30d</w:t>
            </w:r>
          </w:p>
        </w:tc>
      </w:tr>
    </w:tbl>
    <w:p>
      <w:pPr>
        <w:spacing w:before="16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≥ 70 =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qualificado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 (segue para Diagnóstico Patrimonial em 48h) · 40–69 =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nutrição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 · &lt; 40 ou roteio Porta 2 =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fora da esteira Morimatsu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.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MENSAGEM FINAL (APÓS ENVIO)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“Recebemos seu pré-cadastro. Nossa equipe analisa seu perfil e retorna em até 48 horas úteis pelo WhatsApp informado. Havendo fit, o próximo passo é o Diagnóstico Patrimonial — 20 minutos para mapear seus objetivos e desenhar sua esteira de aquisição. — Morimatsu &amp; Associados · Gestão Patrimonial Imobiliária”</w:t>
      </w:r>
    </w:p>
    <w:sectPr>
      <w:pgSz w:w="11906" w:h="16838" w:orient="portrait"/>
      <w:pgMar w:top="1300" w:right="1450" w:bottom="12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B20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2026-09-01T23:27:11.869Z</dcterms:created>
  <dcterms:modified xsi:type="dcterms:W3CDTF">2026-09-01T23:27:11.869Z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