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7B0" w:rsidRPr="00FE276B" w:rsidRDefault="00A067B0" w:rsidP="00A067B0">
      <w:pPr>
        <w:pStyle w:val="Heading3"/>
      </w:pPr>
      <w:bookmarkStart w:id="0" w:name="_Toc5266003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067B0" w:rsidRPr="00FE276B" w:rsidTr="00D36048">
        <w:trPr>
          <w:jc w:val="center"/>
        </w:trPr>
        <w:tc>
          <w:tcPr>
            <w:tcW w:w="4508" w:type="dxa"/>
          </w:tcPr>
          <w:p w:rsidR="00A067B0" w:rsidRPr="00FE276B" w:rsidRDefault="00A067B0" w:rsidP="00D36048">
            <w:pPr>
              <w:pStyle w:val="Heading1"/>
              <w:jc w:val="center"/>
              <w:outlineLvl w:val="0"/>
            </w:pPr>
            <w:bookmarkStart w:id="1" w:name="_Toc526365193"/>
            <w:bookmarkStart w:id="2" w:name="_Toc526371356"/>
            <w:bookmarkStart w:id="3" w:name="_Toc526426171"/>
            <w:bookmarkStart w:id="4" w:name="_Toc526453767"/>
            <w:bookmarkStart w:id="5" w:name="_Toc526595201"/>
            <w:bookmarkStart w:id="6" w:name="_Toc526600342"/>
            <w:r w:rsidRPr="00FE276B">
              <w:t>Christiaan Gerhardus Viljoen</w:t>
            </w:r>
            <w:bookmarkEnd w:id="1"/>
            <w:bookmarkEnd w:id="2"/>
            <w:bookmarkEnd w:id="3"/>
            <w:bookmarkEnd w:id="4"/>
            <w:bookmarkEnd w:id="5"/>
            <w:bookmarkEnd w:id="6"/>
          </w:p>
          <w:p w:rsidR="00A067B0" w:rsidRPr="00FE276B" w:rsidRDefault="00A067B0" w:rsidP="00D36048"/>
        </w:tc>
        <w:tc>
          <w:tcPr>
            <w:tcW w:w="4508" w:type="dxa"/>
          </w:tcPr>
          <w:p w:rsidR="00A067B0" w:rsidRPr="00FE276B" w:rsidRDefault="00A067B0" w:rsidP="00D36048">
            <w:pPr>
              <w:pStyle w:val="Heading1"/>
              <w:jc w:val="center"/>
              <w:outlineLvl w:val="0"/>
            </w:pPr>
            <w:bookmarkStart w:id="7" w:name="_Toc526365194"/>
            <w:bookmarkStart w:id="8" w:name="_Toc526371357"/>
            <w:bookmarkStart w:id="9" w:name="_Toc526426172"/>
            <w:bookmarkStart w:id="10" w:name="_Toc526453768"/>
            <w:bookmarkStart w:id="11" w:name="_Toc526595202"/>
            <w:bookmarkStart w:id="12" w:name="_Toc526597117"/>
            <w:bookmarkStart w:id="13" w:name="_Toc526600343"/>
            <w:r w:rsidRPr="00FE276B">
              <w:t>Dr Thomas Dietel</w:t>
            </w:r>
            <w:bookmarkEnd w:id="7"/>
            <w:bookmarkEnd w:id="8"/>
            <w:bookmarkEnd w:id="9"/>
            <w:bookmarkEnd w:id="10"/>
            <w:bookmarkEnd w:id="11"/>
            <w:bookmarkEnd w:id="12"/>
            <w:bookmarkEnd w:id="13"/>
          </w:p>
        </w:tc>
      </w:tr>
      <w:tr w:rsidR="00A067B0" w:rsidRPr="00FE276B" w:rsidTr="00D36048">
        <w:trPr>
          <w:jc w:val="center"/>
        </w:trPr>
        <w:tc>
          <w:tcPr>
            <w:tcW w:w="4508" w:type="dxa"/>
          </w:tcPr>
          <w:p w:rsidR="00A067B0" w:rsidRPr="003F5960" w:rsidRDefault="00A067B0" w:rsidP="00D36048">
            <w:pPr>
              <w:jc w:val="center"/>
              <w:rPr>
                <w:b/>
              </w:rPr>
            </w:pPr>
            <w:r w:rsidRPr="003F5960">
              <w:rPr>
                <w:b/>
              </w:rPr>
              <w:t>STUDENT NUMBER: VLJCHR004</w:t>
            </w:r>
          </w:p>
        </w:tc>
        <w:tc>
          <w:tcPr>
            <w:tcW w:w="4508" w:type="dxa"/>
          </w:tcPr>
          <w:p w:rsidR="00A067B0" w:rsidRPr="003F5960" w:rsidRDefault="00A067B0" w:rsidP="00D36048">
            <w:pPr>
              <w:jc w:val="center"/>
              <w:rPr>
                <w:b/>
              </w:rPr>
            </w:pPr>
            <w:r w:rsidRPr="003F5960">
              <w:rPr>
                <w:b/>
              </w:rPr>
              <w:t>SUPERVISOR</w:t>
            </w:r>
          </w:p>
        </w:tc>
      </w:tr>
      <w:tr w:rsidR="00A067B0" w:rsidRPr="00FE276B" w:rsidTr="00D36048">
        <w:trPr>
          <w:jc w:val="center"/>
        </w:trPr>
        <w:tc>
          <w:tcPr>
            <w:tcW w:w="4508" w:type="dxa"/>
          </w:tcPr>
          <w:p w:rsidR="00A067B0" w:rsidRPr="00FE276B" w:rsidRDefault="00601797" w:rsidP="00D36048">
            <w:pPr>
              <w:jc w:val="center"/>
              <w:rPr>
                <w:color w:val="0070C0"/>
              </w:rPr>
            </w:pPr>
            <w:hyperlink r:id="rId6" w:history="1">
              <w:r w:rsidR="00A067B0" w:rsidRPr="00FE276B">
                <w:rPr>
                  <w:rStyle w:val="Hyperlink"/>
                  <w:color w:val="0070C0"/>
                </w:rPr>
                <w:t>christiaan.viljoen@cern.ch</w:t>
              </w:r>
            </w:hyperlink>
          </w:p>
        </w:tc>
        <w:tc>
          <w:tcPr>
            <w:tcW w:w="4508" w:type="dxa"/>
          </w:tcPr>
          <w:p w:rsidR="00A067B0" w:rsidRPr="00FE276B" w:rsidRDefault="00601797" w:rsidP="00D36048">
            <w:pPr>
              <w:jc w:val="center"/>
              <w:rPr>
                <w:color w:val="0070C0"/>
              </w:rPr>
            </w:pPr>
            <w:hyperlink r:id="rId7" w:history="1">
              <w:r w:rsidR="00A067B0" w:rsidRPr="00FE276B">
                <w:rPr>
                  <w:rStyle w:val="Hyperlink"/>
                  <w:color w:val="0070C0"/>
                </w:rPr>
                <w:t>thomas.dietel@cern.ch</w:t>
              </w:r>
            </w:hyperlink>
          </w:p>
        </w:tc>
      </w:tr>
      <w:tr w:rsidR="00A067B0" w:rsidRPr="00FE276B" w:rsidTr="00D36048">
        <w:trPr>
          <w:jc w:val="center"/>
        </w:trPr>
        <w:tc>
          <w:tcPr>
            <w:tcW w:w="4508" w:type="dxa"/>
          </w:tcPr>
          <w:p w:rsidR="00A067B0" w:rsidRPr="00FE276B" w:rsidRDefault="00A067B0" w:rsidP="00D36048">
            <w:pPr>
              <w:jc w:val="center"/>
            </w:pPr>
            <w:r w:rsidRPr="00FE276B">
              <w:t>Department of Statistical Sciences</w:t>
            </w:r>
          </w:p>
        </w:tc>
        <w:tc>
          <w:tcPr>
            <w:tcW w:w="4508" w:type="dxa"/>
          </w:tcPr>
          <w:p w:rsidR="00A067B0" w:rsidRPr="00FE276B" w:rsidRDefault="00A067B0" w:rsidP="00D36048">
            <w:pPr>
              <w:jc w:val="center"/>
            </w:pPr>
            <w:r w:rsidRPr="00FE276B">
              <w:t>Department of Physics</w:t>
            </w:r>
          </w:p>
        </w:tc>
      </w:tr>
      <w:tr w:rsidR="00A067B0" w:rsidRPr="00FE276B" w:rsidTr="00D36048">
        <w:trPr>
          <w:jc w:val="center"/>
        </w:trPr>
        <w:tc>
          <w:tcPr>
            <w:tcW w:w="4508" w:type="dxa"/>
          </w:tcPr>
          <w:p w:rsidR="00A067B0" w:rsidRPr="00FE276B" w:rsidRDefault="00A067B0" w:rsidP="00D36048">
            <w:pPr>
              <w:jc w:val="center"/>
            </w:pPr>
            <w:r w:rsidRPr="00FE276B">
              <w:t>PD Hahn Building</w:t>
            </w:r>
          </w:p>
        </w:tc>
        <w:tc>
          <w:tcPr>
            <w:tcW w:w="4508" w:type="dxa"/>
          </w:tcPr>
          <w:p w:rsidR="00A067B0" w:rsidRPr="00FE276B" w:rsidRDefault="00A067B0" w:rsidP="00D36048">
            <w:pPr>
              <w:jc w:val="center"/>
            </w:pPr>
            <w:r w:rsidRPr="00FE276B">
              <w:t>RW James Building</w:t>
            </w:r>
          </w:p>
        </w:tc>
      </w:tr>
      <w:tr w:rsidR="00A067B0" w:rsidRPr="00FE276B" w:rsidTr="00D36048">
        <w:trPr>
          <w:jc w:val="center"/>
        </w:trPr>
        <w:tc>
          <w:tcPr>
            <w:tcW w:w="4508" w:type="dxa"/>
          </w:tcPr>
          <w:p w:rsidR="00A067B0" w:rsidRPr="00FE276B" w:rsidRDefault="00A067B0" w:rsidP="00D36048">
            <w:pPr>
              <w:jc w:val="center"/>
            </w:pPr>
            <w:r w:rsidRPr="00FE276B">
              <w:t>University Avenue North</w:t>
            </w:r>
          </w:p>
        </w:tc>
        <w:tc>
          <w:tcPr>
            <w:tcW w:w="4508" w:type="dxa"/>
          </w:tcPr>
          <w:p w:rsidR="00A067B0" w:rsidRPr="00FE276B" w:rsidRDefault="00A067B0" w:rsidP="00D36048">
            <w:pPr>
              <w:jc w:val="center"/>
            </w:pPr>
            <w:r w:rsidRPr="00FE276B">
              <w:t>University Avenue</w:t>
            </w:r>
          </w:p>
        </w:tc>
      </w:tr>
      <w:tr w:rsidR="00A067B0" w:rsidRPr="00FE276B" w:rsidTr="00D36048">
        <w:trPr>
          <w:trHeight w:val="240"/>
          <w:jc w:val="center"/>
        </w:trPr>
        <w:tc>
          <w:tcPr>
            <w:tcW w:w="4508" w:type="dxa"/>
          </w:tcPr>
          <w:p w:rsidR="00A067B0" w:rsidRPr="00FE276B" w:rsidRDefault="00A067B0" w:rsidP="00D36048">
            <w:pPr>
              <w:jc w:val="center"/>
            </w:pPr>
            <w:r w:rsidRPr="00FE276B">
              <w:t>University of Cape Town</w:t>
            </w:r>
          </w:p>
        </w:tc>
        <w:tc>
          <w:tcPr>
            <w:tcW w:w="4508" w:type="dxa"/>
          </w:tcPr>
          <w:p w:rsidR="00A067B0" w:rsidRPr="00FE276B" w:rsidRDefault="00A067B0" w:rsidP="00D36048">
            <w:pPr>
              <w:jc w:val="center"/>
            </w:pPr>
            <w:r w:rsidRPr="00FE276B">
              <w:t>University of Cape Town</w:t>
            </w:r>
          </w:p>
        </w:tc>
      </w:tr>
      <w:tr w:rsidR="00A067B0" w:rsidRPr="00FE276B" w:rsidTr="00D36048">
        <w:trPr>
          <w:trHeight w:val="240"/>
          <w:jc w:val="center"/>
        </w:trPr>
        <w:tc>
          <w:tcPr>
            <w:tcW w:w="4508" w:type="dxa"/>
          </w:tcPr>
          <w:p w:rsidR="00A067B0" w:rsidRPr="00FE276B" w:rsidRDefault="00A067B0" w:rsidP="00D36048">
            <w:pPr>
              <w:jc w:val="center"/>
            </w:pPr>
            <w:r w:rsidRPr="00FE276B">
              <w:t>Rondebosch, Cape Town, South Africa</w:t>
            </w:r>
          </w:p>
        </w:tc>
        <w:tc>
          <w:tcPr>
            <w:tcW w:w="4508" w:type="dxa"/>
          </w:tcPr>
          <w:p w:rsidR="00A067B0" w:rsidRPr="00FE276B" w:rsidRDefault="00A067B0" w:rsidP="00D36048">
            <w:pPr>
              <w:jc w:val="center"/>
            </w:pPr>
            <w:r w:rsidRPr="00FE276B">
              <w:t>Rondebosch, Cape Town, South Africa</w:t>
            </w:r>
          </w:p>
        </w:tc>
      </w:tr>
    </w:tbl>
    <w:p w:rsidR="00A067B0" w:rsidRPr="00FE276B" w:rsidRDefault="00A067B0" w:rsidP="00A067B0">
      <w:pPr>
        <w:jc w:val="center"/>
      </w:pPr>
    </w:p>
    <w:p w:rsidR="00A067B0" w:rsidRPr="003C1539" w:rsidRDefault="00A067B0" w:rsidP="00A067B0">
      <w:pPr>
        <w:pStyle w:val="Title"/>
        <w:jc w:val="center"/>
        <w:rPr>
          <w:color w:val="DEB340" w:themeColor="accent6"/>
        </w:rPr>
      </w:pPr>
      <w:r w:rsidRPr="003C1539">
        <w:rPr>
          <w:color w:val="DEB340" w:themeColor="accent6"/>
        </w:rPr>
        <w:t>Research Proposal</w:t>
      </w:r>
    </w:p>
    <w:p w:rsidR="00A067B0" w:rsidRPr="003C1539" w:rsidRDefault="00A067B0" w:rsidP="00A067B0">
      <w:pPr>
        <w:pStyle w:val="Heading2"/>
        <w:jc w:val="center"/>
        <w:rPr>
          <w:b/>
          <w:color w:val="DEB340" w:themeColor="accent6"/>
        </w:rPr>
      </w:pPr>
      <w:bookmarkStart w:id="14" w:name="_Toc526426174"/>
      <w:bookmarkStart w:id="15" w:name="_Toc526453770"/>
      <w:bookmarkStart w:id="16" w:name="_Toc526595204"/>
      <w:bookmarkStart w:id="17" w:name="_Toc526597119"/>
      <w:bookmarkStart w:id="18" w:name="_Toc526600345"/>
      <w:r w:rsidRPr="003C1539">
        <w:rPr>
          <w:b/>
          <w:color w:val="DEB340" w:themeColor="accent6"/>
        </w:rPr>
        <w:t>PHY5008W</w:t>
      </w:r>
      <w:bookmarkEnd w:id="14"/>
      <w:bookmarkEnd w:id="15"/>
      <w:bookmarkEnd w:id="16"/>
      <w:bookmarkEnd w:id="17"/>
      <w:bookmarkEnd w:id="18"/>
    </w:p>
    <w:p w:rsidR="00A067B0" w:rsidRPr="00FE276B" w:rsidRDefault="00A067B0" w:rsidP="00A067B0">
      <w:pPr>
        <w:pStyle w:val="Title"/>
        <w:rPr>
          <w:sz w:val="72"/>
        </w:rPr>
      </w:pPr>
      <w:r w:rsidRPr="00FE276B">
        <w:rPr>
          <w:sz w:val="72"/>
        </w:rPr>
        <w:t xml:space="preserve">The Application of Machine Learning Techniques towards the Optimization of High Energy Physics Event Simulations in the </w:t>
      </w:r>
      <m:oMath>
        <m:sSup>
          <m:sSupPr>
            <m:ctrlPr>
              <w:rPr>
                <w:rFonts w:ascii="Cambria Math" w:hAnsi="Cambria Math"/>
                <w:i/>
                <w:sz w:val="72"/>
              </w:rPr>
            </m:ctrlPr>
          </m:sSupPr>
          <m:e>
            <m:r>
              <m:rPr>
                <m:sty m:val="p"/>
              </m:rPr>
              <w:rPr>
                <w:rFonts w:ascii="Cambria Math" w:hAnsi="Cambria Math"/>
                <w:sz w:val="72"/>
              </w:rPr>
              <m:t>ALICE</m:t>
            </m:r>
          </m:e>
          <m:sup>
            <m:r>
              <w:rPr>
                <w:rFonts w:ascii="Cambria Math" w:hAnsi="Cambria Math"/>
                <w:sz w:val="72"/>
              </w:rPr>
              <m:t>†</m:t>
            </m:r>
          </m:sup>
        </m:sSup>
      </m:oMath>
      <w:r w:rsidRPr="00FE276B">
        <w:rPr>
          <w:sz w:val="72"/>
        </w:rPr>
        <w:t xml:space="preserve"> </w:t>
      </w:r>
      <m:oMath>
        <m:sSup>
          <m:sSupPr>
            <m:ctrlPr>
              <w:rPr>
                <w:rFonts w:ascii="Cambria Math" w:hAnsi="Cambria Math"/>
                <w:sz w:val="72"/>
              </w:rPr>
            </m:ctrlPr>
          </m:sSupPr>
          <m:e>
            <m:r>
              <m:rPr>
                <m:sty m:val="p"/>
              </m:rPr>
              <w:rPr>
                <w:rFonts w:ascii="Cambria Math" w:hAnsi="Cambria Math"/>
                <w:sz w:val="72"/>
              </w:rPr>
              <m:t>TRD</m:t>
            </m:r>
          </m:e>
          <m:sup>
            <m:r>
              <w:rPr>
                <w:rFonts w:ascii="Cambria Math" w:hAnsi="Cambria Math"/>
                <w:sz w:val="72"/>
              </w:rPr>
              <m:t>͛</m:t>
            </m:r>
          </m:sup>
        </m:sSup>
      </m:oMath>
      <w:r w:rsidRPr="00FE276B">
        <w:rPr>
          <w:sz w:val="72"/>
        </w:rPr>
        <w:t xml:space="preserve"> at </w:t>
      </w:r>
      <m:oMath>
        <m:sSup>
          <m:sSupPr>
            <m:ctrlPr>
              <w:rPr>
                <w:rFonts w:ascii="Cambria Math" w:hAnsi="Cambria Math"/>
                <w:sz w:val="72"/>
              </w:rPr>
            </m:ctrlPr>
          </m:sSupPr>
          <m:e>
            <m:r>
              <m:rPr>
                <m:sty m:val="p"/>
              </m:rPr>
              <w:rPr>
                <w:rFonts w:ascii="Cambria Math" w:hAnsi="Cambria Math"/>
                <w:sz w:val="72"/>
              </w:rPr>
              <m:t>CERN</m:t>
            </m:r>
          </m:e>
          <m:sup>
            <m:r>
              <m:rPr>
                <m:sty m:val="p"/>
              </m:rPr>
              <w:rPr>
                <w:rFonts w:ascii="Cambria Math" w:hAnsi="Cambria Math"/>
                <w:sz w:val="72"/>
              </w:rPr>
              <m:t>‡</m:t>
            </m:r>
          </m:sup>
        </m:sSup>
      </m:oMath>
    </w:p>
    <w:p w:rsidR="00A067B0" w:rsidRPr="00FE276B" w:rsidRDefault="00A067B0" w:rsidP="00A067B0">
      <w:pPr>
        <w:pStyle w:val="NoSpacing"/>
      </w:pPr>
      <w:r w:rsidRPr="00FE276B">
        <w:rPr>
          <w:sz w:val="22"/>
        </w:rPr>
        <w:t xml:space="preserve">† </w:t>
      </w:r>
      <w:r w:rsidRPr="00FE276B">
        <w:t>A Large Ion Collider Experiment</w:t>
      </w:r>
    </w:p>
    <w:p w:rsidR="00A067B0" w:rsidRPr="00FE276B" w:rsidRDefault="00A067B0" w:rsidP="00A067B0">
      <w:pPr>
        <w:pStyle w:val="NoSpacing"/>
      </w:pPr>
      <w:r w:rsidRPr="00FE276B">
        <w:rPr>
          <w:sz w:val="22"/>
        </w:rPr>
        <w:t xml:space="preserve">‡ </w:t>
      </w:r>
      <w:r w:rsidRPr="00FE276B">
        <w:t>European Organization for Nuclear Research/ Organisation Européenne</w:t>
      </w:r>
      <w:r w:rsidRPr="00FE276B">
        <w:br/>
        <w:t>pour la Recherche Nucléaire</w:t>
      </w:r>
    </w:p>
    <w:p w:rsidR="00A067B0" w:rsidRPr="00FE276B" w:rsidRDefault="00A067B0" w:rsidP="00A067B0">
      <w:pPr>
        <w:pStyle w:val="NoSpacing"/>
      </w:pPr>
      <w:r w:rsidRPr="00FE276B">
        <w:rPr>
          <w:rFonts w:ascii="Cambria Math" w:hAnsi="Cambria Math"/>
          <w:sz w:val="28"/>
          <w:szCs w:val="28"/>
        </w:rPr>
        <w:t xml:space="preserve"> ͛</w:t>
      </w:r>
      <w:r w:rsidRPr="00FE276B">
        <w:rPr>
          <w:rFonts w:ascii="Cambria Math" w:hAnsi="Cambria Math"/>
          <w:sz w:val="22"/>
          <w:szCs w:val="28"/>
        </w:rPr>
        <w:t xml:space="preserve"> </w:t>
      </w:r>
      <w:r>
        <w:t>Transition Radiation Detector</w:t>
      </w:r>
    </w:p>
    <w:p w:rsidR="00A067B0" w:rsidRPr="00FE276B" w:rsidRDefault="00A067B0" w:rsidP="00A067B0">
      <w:pPr>
        <w:jc w:val="center"/>
      </w:pPr>
      <w:r w:rsidRPr="00FE276B">
        <w:rPr>
          <w:noProof/>
        </w:rPr>
        <w:drawing>
          <wp:inline distT="0" distB="0" distL="0" distR="0" wp14:anchorId="17CCAF7F" wp14:editId="22755BA7">
            <wp:extent cx="647700" cy="657580"/>
            <wp:effectExtent l="0" t="0" r="0" b="9525"/>
            <wp:docPr id="4" name="Picture 4" descr="Image result for 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c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995" cy="671078"/>
                    </a:xfrm>
                    <a:prstGeom prst="rect">
                      <a:avLst/>
                    </a:prstGeom>
                    <a:noFill/>
                    <a:ln>
                      <a:noFill/>
                    </a:ln>
                  </pic:spPr>
                </pic:pic>
              </a:graphicData>
            </a:graphic>
          </wp:inline>
        </w:drawing>
      </w:r>
    </w:p>
    <w:p w:rsidR="004028A8" w:rsidRDefault="004028A8" w:rsidP="004028A8">
      <w:pPr>
        <w:pStyle w:val="Heading1"/>
      </w:pPr>
      <w:r>
        <w:lastRenderedPageBreak/>
        <w:t>Introduction to Research</w:t>
      </w:r>
    </w:p>
    <w:p w:rsidR="004028A8" w:rsidRDefault="004028A8" w:rsidP="004028A8">
      <w:pPr>
        <w:pStyle w:val="Style1"/>
      </w:pPr>
    </w:p>
    <w:p w:rsidR="004028A8" w:rsidRDefault="004028A8" w:rsidP="004028A8">
      <w:pPr>
        <w:pStyle w:val="Style1"/>
      </w:pPr>
      <w:r>
        <w:t xml:space="preserve">The Transition Radiation Detector (TRD) is the primary electron identification detector at the ALICE (A Large Ion Collider Experiment) collaboration at CERN (The </w:t>
      </w:r>
      <w:r w:rsidRPr="00FE276B">
        <w:t>European Organization for Nuclear Research</w:t>
      </w:r>
      <w:r>
        <w:t xml:space="preserve">) </w:t>
      </w:r>
      <w:sdt>
        <w:sdtPr>
          <w:id w:val="1081403500"/>
          <w:citation/>
        </w:sdtPr>
        <w:sdtEndPr/>
        <w:sdtContent>
          <w:r>
            <w:fldChar w:fldCharType="begin"/>
          </w:r>
          <w:r>
            <w:instrText xml:space="preserve"> CITATION Col18 \l 7177 </w:instrText>
          </w:r>
          <w:r>
            <w:fldChar w:fldCharType="separate"/>
          </w:r>
          <w:r w:rsidR="003F5960">
            <w:rPr>
              <w:noProof/>
            </w:rPr>
            <w:t>(1)</w:t>
          </w:r>
          <w:r>
            <w:fldChar w:fldCharType="end"/>
          </w:r>
        </w:sdtContent>
      </w:sdt>
      <w:r>
        <w:t>.</w:t>
      </w:r>
    </w:p>
    <w:p w:rsidR="004028A8" w:rsidRDefault="004028A8" w:rsidP="004028A8">
      <w:pPr>
        <w:pStyle w:val="Style1"/>
      </w:pPr>
      <w:r>
        <w:t>High Energy Physics Event Simulations are an integral part of modern Particle Physics research, and existing Monte Carlo simulation frameworks, such as Geant4, are currently being utilized by experiments like ALICE on a routine basis. These existing frameworks operate at a high level of accuracy, but at an attendant high computational cost</w:t>
      </w:r>
      <w:sdt>
        <w:sdtPr>
          <w:id w:val="-162169692"/>
          <w:citation/>
        </w:sdtPr>
        <w:sdtEndPr/>
        <w:sdtContent>
          <w:r>
            <w:fldChar w:fldCharType="begin"/>
          </w:r>
          <w:r>
            <w:instrText xml:space="preserve"> CITATION Dej \l 7177 </w:instrText>
          </w:r>
          <w:r>
            <w:fldChar w:fldCharType="separate"/>
          </w:r>
          <w:r w:rsidR="003F5960">
            <w:rPr>
              <w:noProof/>
            </w:rPr>
            <w:t xml:space="preserve"> (2)</w:t>
          </w:r>
          <w:r>
            <w:fldChar w:fldCharType="end"/>
          </w:r>
        </w:sdtContent>
      </w:sdt>
      <w:r>
        <w:t>.</w:t>
      </w:r>
    </w:p>
    <w:p w:rsidR="004028A8" w:rsidRDefault="004028A8" w:rsidP="00E774D1">
      <w:pPr>
        <w:pStyle w:val="Style1"/>
      </w:pPr>
      <w:r>
        <w:t>Generative Adversarial Networks (GANs) are an extension of Deep Learning that consists of two neural networks that are pitted against each other in a</w:t>
      </w:r>
      <w:r w:rsidR="00E774D1">
        <w:t xml:space="preserve">n </w:t>
      </w:r>
      <w:r w:rsidR="006711A5">
        <w:t>adversarial</w:t>
      </w:r>
      <w:r>
        <w:t xml:space="preserve"> mini-max game, where the Generative Neural Network </w:t>
      </w:r>
      <w:r w:rsidR="00E774D1" w:rsidRPr="00E774D1">
        <w:rPr>
          <w:b/>
        </w:rPr>
        <w:t>G</w:t>
      </w:r>
      <w:r w:rsidR="00E774D1">
        <w:t xml:space="preserve">, </w:t>
      </w:r>
      <w:r w:rsidRPr="00E774D1">
        <w:t>attempts</w:t>
      </w:r>
      <w:r>
        <w:t xml:space="preserve"> to maximize the </w:t>
      </w:r>
      <w:r w:rsidR="00E774D1">
        <w:t xml:space="preserve">cost function </w:t>
      </w:r>
      <w:r w:rsidR="00E774D1">
        <w:rPr>
          <w:b/>
        </w:rPr>
        <w:t>J</w:t>
      </w:r>
      <w:r>
        <w:t xml:space="preserve"> of the Discriminative Neural Network</w:t>
      </w:r>
      <w:r w:rsidR="00E774D1">
        <w:t xml:space="preserve"> </w:t>
      </w:r>
      <w:r w:rsidR="00E774D1">
        <w:rPr>
          <w:b/>
        </w:rPr>
        <w:t>D</w:t>
      </w:r>
      <w:r>
        <w:t>, which is tasked with classifying observations as being “real”</w:t>
      </w:r>
      <w:r w:rsidR="006711A5">
        <w:t xml:space="preserve"> (from the actual training distribution)</w:t>
      </w:r>
      <w:r>
        <w:t xml:space="preserve"> or “fake” (generated by </w:t>
      </w:r>
      <w:r w:rsidRPr="00E774D1">
        <w:rPr>
          <w:b/>
        </w:rPr>
        <w:t>G</w:t>
      </w:r>
      <w:r>
        <w:t xml:space="preserve">); the two networks </w:t>
      </w:r>
      <w:r w:rsidR="006711A5">
        <w:t>can be</w:t>
      </w:r>
      <w:r>
        <w:t xml:space="preserve"> trained simultaneously via backpropagation </w:t>
      </w:r>
      <w:sdt>
        <w:sdtPr>
          <w:id w:val="1729576373"/>
          <w:citation/>
        </w:sdtPr>
        <w:sdtEndPr/>
        <w:sdtContent>
          <w:r>
            <w:fldChar w:fldCharType="begin"/>
          </w:r>
          <w:r>
            <w:instrText xml:space="preserve"> CITATION Goo14 \l 7177 </w:instrText>
          </w:r>
          <w:r>
            <w:fldChar w:fldCharType="separate"/>
          </w:r>
          <w:r w:rsidR="003F5960">
            <w:rPr>
              <w:noProof/>
            </w:rPr>
            <w:t>(3)</w:t>
          </w:r>
          <w:r>
            <w:fldChar w:fldCharType="end"/>
          </w:r>
        </w:sdtContent>
      </w:sdt>
      <w:r w:rsidR="006711A5">
        <w:t xml:space="preserve">, to find an optimal solution, where </w:t>
      </w:r>
      <w:r w:rsidR="006711A5">
        <w:rPr>
          <w:b/>
        </w:rPr>
        <w:t xml:space="preserve">G </w:t>
      </w:r>
      <w:r w:rsidR="006711A5">
        <w:t xml:space="preserve">captures the underlying data distribution and </w:t>
      </w:r>
      <w:r w:rsidR="006711A5">
        <w:rPr>
          <w:b/>
        </w:rPr>
        <w:t xml:space="preserve">D </w:t>
      </w:r>
      <w:r w:rsidR="006711A5">
        <w:t>outputs 0.5 everywhere</w:t>
      </w:r>
      <w:sdt>
        <w:sdtPr>
          <w:id w:val="-1859497005"/>
          <w:citation/>
        </w:sdtPr>
        <w:sdtEndPr/>
        <w:sdtContent>
          <w:r w:rsidR="003A1564">
            <w:fldChar w:fldCharType="begin"/>
          </w:r>
          <w:r w:rsidR="003A1564">
            <w:instrText xml:space="preserve"> CITATION Goo14 \l 7177 </w:instrText>
          </w:r>
          <w:r w:rsidR="003A1564">
            <w:fldChar w:fldCharType="separate"/>
          </w:r>
          <w:r w:rsidR="003F5960">
            <w:rPr>
              <w:noProof/>
            </w:rPr>
            <w:t xml:space="preserve"> (3)</w:t>
          </w:r>
          <w:r w:rsidR="003A1564">
            <w:fldChar w:fldCharType="end"/>
          </w:r>
        </w:sdtContent>
      </w:sdt>
      <w:r>
        <w:t>.</w:t>
      </w:r>
    </w:p>
    <w:p w:rsidR="003A1564" w:rsidRDefault="004028A8" w:rsidP="004028A8">
      <w:pPr>
        <w:pStyle w:val="Style1"/>
      </w:pPr>
      <w:r>
        <w:t xml:space="preserve">GANs have enjoyed a lot of success in recent years in a variety of applications, such as the verification of document authenticity, image generation from text input and drug discovery </w:t>
      </w:r>
      <w:sdt>
        <w:sdtPr>
          <w:id w:val="-158934821"/>
          <w:citation/>
        </w:sdtPr>
        <w:sdtEndPr/>
        <w:sdtContent>
          <w:r>
            <w:fldChar w:fldCharType="begin"/>
          </w:r>
          <w:r>
            <w:instrText xml:space="preserve"> CITATION Ant18 \l 7177 </w:instrText>
          </w:r>
          <w:r>
            <w:fldChar w:fldCharType="separate"/>
          </w:r>
          <w:r w:rsidR="003F5960">
            <w:rPr>
              <w:noProof/>
            </w:rPr>
            <w:t>(4)</w:t>
          </w:r>
          <w:r>
            <w:fldChar w:fldCharType="end"/>
          </w:r>
        </w:sdtContent>
      </w:sdt>
      <w:r w:rsidR="003A1564">
        <w:t>.</w:t>
      </w:r>
    </w:p>
    <w:p w:rsidR="003A1564" w:rsidRDefault="003A1564" w:rsidP="003A1564">
      <w:pPr>
        <w:pStyle w:val="Heading1"/>
      </w:pPr>
      <w:r>
        <w:t>Hypothesis</w:t>
      </w:r>
    </w:p>
    <w:p w:rsidR="003A1564" w:rsidRPr="003A1564" w:rsidRDefault="003A1564" w:rsidP="003A1564"/>
    <w:p w:rsidR="004028A8" w:rsidRDefault="003A1564" w:rsidP="004028A8">
      <w:pPr>
        <w:pStyle w:val="Style1"/>
      </w:pPr>
      <w:r>
        <w:t>I</w:t>
      </w:r>
      <w:r w:rsidR="004028A8">
        <w:t xml:space="preserve">t is the hypothesis of this dissertation that </w:t>
      </w:r>
      <w:r>
        <w:t>Generative Machine Learning Algorithms, such as GANs,</w:t>
      </w:r>
      <w:r w:rsidR="004028A8">
        <w:t xml:space="preserve"> can be successfully be applied to HEP event simulations, at a lower computational cost than traditional methods currently being used</w:t>
      </w:r>
      <w:r>
        <w:t>, and that these algorithms can output data which is indistinguishable from actual data collected from the TRD at CERN</w:t>
      </w:r>
      <w:r w:rsidR="004028A8">
        <w:t>.</w:t>
      </w:r>
    </w:p>
    <w:p w:rsidR="004028A8" w:rsidRPr="001105C9" w:rsidRDefault="00846476" w:rsidP="001105C9">
      <w:pPr>
        <w:pStyle w:val="Heading1"/>
      </w:pPr>
      <w:r>
        <w:br w:type="page"/>
      </w:r>
      <w:r w:rsidR="004028A8">
        <w:lastRenderedPageBreak/>
        <w:t>Research Aims and Objectives</w:t>
      </w:r>
    </w:p>
    <w:p w:rsidR="004028A8" w:rsidRPr="001D4E7F" w:rsidRDefault="004028A8" w:rsidP="004028A8"/>
    <w:p w:rsidR="004028A8" w:rsidRPr="00324526" w:rsidRDefault="004028A8" w:rsidP="004028A8">
      <w:pPr>
        <w:pStyle w:val="Style1"/>
        <w:numPr>
          <w:ilvl w:val="0"/>
          <w:numId w:val="1"/>
        </w:numPr>
        <w:rPr>
          <w:b/>
        </w:rPr>
      </w:pPr>
      <w:r w:rsidRPr="00324526">
        <w:rPr>
          <w:b/>
        </w:rPr>
        <w:t>To build a highly accurate Neural Network that is able to classify particles</w:t>
      </w:r>
      <w:r>
        <w:rPr>
          <w:b/>
        </w:rPr>
        <w:t xml:space="preserve"> passing through the TRD</w:t>
      </w:r>
      <w:r w:rsidRPr="00324526">
        <w:rPr>
          <w:b/>
        </w:rPr>
        <w:t xml:space="preserve"> as</w:t>
      </w:r>
      <w:r>
        <w:rPr>
          <w:b/>
        </w:rPr>
        <w:t>:</w:t>
      </w:r>
      <w:r w:rsidRPr="00324526">
        <w:rPr>
          <w:b/>
        </w:rPr>
        <w:t xml:space="preserve"> electrons, positrons, pions, etc.</w:t>
      </w:r>
    </w:p>
    <w:p w:rsidR="004028A8" w:rsidRDefault="004028A8" w:rsidP="004028A8">
      <w:pPr>
        <w:pStyle w:val="Style1"/>
        <w:numPr>
          <w:ilvl w:val="1"/>
          <w:numId w:val="1"/>
        </w:numPr>
      </w:pPr>
      <w:r>
        <w:t xml:space="preserve">By using h2o.ai </w:t>
      </w:r>
      <w:sdt>
        <w:sdtPr>
          <w:id w:val="-890808067"/>
          <w:citation/>
        </w:sdtPr>
        <w:sdtEndPr/>
        <w:sdtContent>
          <w:r>
            <w:fldChar w:fldCharType="begin"/>
          </w:r>
          <w:r>
            <w:instrText xml:space="preserve"> CITATION H2O \l 7177 </w:instrText>
          </w:r>
          <w:r>
            <w:fldChar w:fldCharType="separate"/>
          </w:r>
          <w:r w:rsidR="003F5960">
            <w:rPr>
              <w:noProof/>
            </w:rPr>
            <w:t>(5)</w:t>
          </w:r>
          <w:r>
            <w:fldChar w:fldCharType="end"/>
          </w:r>
        </w:sdtContent>
      </w:sdt>
      <w:r>
        <w:t xml:space="preserve"> within the R statistical software environment </w:t>
      </w:r>
      <w:sdt>
        <w:sdtPr>
          <w:id w:val="967785400"/>
          <w:citation/>
        </w:sdtPr>
        <w:sdtEndPr/>
        <w:sdtContent>
          <w:r>
            <w:fldChar w:fldCharType="begin"/>
          </w:r>
          <w:r>
            <w:instrText xml:space="preserve"> CITATION RCo \l 7177 </w:instrText>
          </w:r>
          <w:r>
            <w:fldChar w:fldCharType="separate"/>
          </w:r>
          <w:r w:rsidR="003F5960">
            <w:rPr>
              <w:noProof/>
            </w:rPr>
            <w:t>(6)</w:t>
          </w:r>
          <w:r>
            <w:fldChar w:fldCharType="end"/>
          </w:r>
        </w:sdtContent>
      </w:sdt>
    </w:p>
    <w:p w:rsidR="004028A8" w:rsidRPr="00324526" w:rsidRDefault="004028A8" w:rsidP="004028A8">
      <w:pPr>
        <w:pStyle w:val="Style1"/>
        <w:numPr>
          <w:ilvl w:val="0"/>
          <w:numId w:val="1"/>
        </w:numPr>
        <w:rPr>
          <w:b/>
        </w:rPr>
      </w:pPr>
      <w:r w:rsidRPr="00324526">
        <w:rPr>
          <w:b/>
        </w:rPr>
        <w:t>To optimize parameters for Monte Carlo event simulations within Geant4, in order to more accurately account for environmental conditions in the TRD at run-time, e.g. ambient temperature, atmospheric pressure, etc.,</w:t>
      </w:r>
    </w:p>
    <w:p w:rsidR="004028A8" w:rsidRDefault="004028A8" w:rsidP="004028A8">
      <w:pPr>
        <w:pStyle w:val="Style1"/>
        <w:numPr>
          <w:ilvl w:val="1"/>
          <w:numId w:val="1"/>
        </w:numPr>
      </w:pPr>
      <w:r>
        <w:t xml:space="preserve">using an ensembled approach of machine learning (ML) algorithms within h2o.ai </w:t>
      </w:r>
      <w:sdt>
        <w:sdtPr>
          <w:id w:val="1169907365"/>
          <w:citation/>
        </w:sdtPr>
        <w:sdtEndPr/>
        <w:sdtContent>
          <w:r>
            <w:fldChar w:fldCharType="begin"/>
          </w:r>
          <w:r>
            <w:instrText xml:space="preserve"> CITATION H2O \l 7177 </w:instrText>
          </w:r>
          <w:r>
            <w:fldChar w:fldCharType="separate"/>
          </w:r>
          <w:r w:rsidR="003F5960">
            <w:rPr>
              <w:noProof/>
            </w:rPr>
            <w:t>(5)</w:t>
          </w:r>
          <w:r>
            <w:fldChar w:fldCharType="end"/>
          </w:r>
        </w:sdtContent>
      </w:sdt>
      <w:r>
        <w:t xml:space="preserve"> ecosystem</w:t>
      </w:r>
    </w:p>
    <w:p w:rsidR="004028A8" w:rsidRPr="0051651F" w:rsidRDefault="004028A8" w:rsidP="004028A8">
      <w:pPr>
        <w:pStyle w:val="Style1"/>
        <w:numPr>
          <w:ilvl w:val="0"/>
          <w:numId w:val="1"/>
        </w:numPr>
        <w:rPr>
          <w:b/>
        </w:rPr>
      </w:pPr>
      <w:r w:rsidRPr="0051651F">
        <w:rPr>
          <w:b/>
        </w:rPr>
        <w:t>To simulate Particle-Detector Interaction data,</w:t>
      </w:r>
    </w:p>
    <w:p w:rsidR="004028A8" w:rsidRDefault="004028A8" w:rsidP="004028A8">
      <w:pPr>
        <w:pStyle w:val="Style1"/>
        <w:numPr>
          <w:ilvl w:val="1"/>
          <w:numId w:val="1"/>
        </w:numPr>
      </w:pPr>
      <w:r>
        <w:t>By modelling the output data generated during High Energy Physics Collisions in the ALICE TRD,</w:t>
      </w:r>
    </w:p>
    <w:p w:rsidR="004028A8" w:rsidRDefault="004028A8" w:rsidP="004028A8">
      <w:pPr>
        <w:pStyle w:val="Style1"/>
        <w:numPr>
          <w:ilvl w:val="1"/>
          <w:numId w:val="1"/>
        </w:numPr>
      </w:pPr>
      <w:r>
        <w:t>that is of sufficient quality so as to be indistinguishable from data generated by current Monte Carlo simulations, such as that generated by Geant4</w:t>
      </w:r>
    </w:p>
    <w:p w:rsidR="004028A8" w:rsidRDefault="004028A8" w:rsidP="004028A8">
      <w:pPr>
        <w:pStyle w:val="Style1"/>
        <w:numPr>
          <w:ilvl w:val="1"/>
          <w:numId w:val="1"/>
        </w:numPr>
      </w:pPr>
      <w:r>
        <w:t>and that is indistinguishable from data taken from real collision events within the ALICE TRD at CERN</w:t>
      </w:r>
    </w:p>
    <w:p w:rsidR="004028A8" w:rsidRPr="0051651F" w:rsidRDefault="004028A8" w:rsidP="004028A8">
      <w:pPr>
        <w:pStyle w:val="Style1"/>
        <w:numPr>
          <w:ilvl w:val="0"/>
          <w:numId w:val="1"/>
        </w:numPr>
        <w:rPr>
          <w:b/>
        </w:rPr>
      </w:pPr>
      <w:r w:rsidRPr="0051651F">
        <w:rPr>
          <w:b/>
        </w:rPr>
        <w:t>To build an efficient “Proof of Concept” Generative Adversarial Network architecture to this end (point 3.),</w:t>
      </w:r>
    </w:p>
    <w:p w:rsidR="004028A8" w:rsidRDefault="004028A8" w:rsidP="004028A8">
      <w:pPr>
        <w:pStyle w:val="Style1"/>
        <w:numPr>
          <w:ilvl w:val="1"/>
          <w:numId w:val="1"/>
        </w:numPr>
      </w:pPr>
      <w:r>
        <w:t>By utilizing existing packages for Deep Learning, e.g. Keras for proof of concept, within the R statistical software environment,</w:t>
      </w:r>
    </w:p>
    <w:p w:rsidR="004028A8" w:rsidRDefault="004028A8" w:rsidP="004028A8">
      <w:pPr>
        <w:pStyle w:val="Style1"/>
        <w:numPr>
          <w:ilvl w:val="1"/>
          <w:numId w:val="1"/>
        </w:numPr>
      </w:pPr>
      <w:r>
        <w:t>Using data from:</w:t>
      </w:r>
    </w:p>
    <w:p w:rsidR="004028A8" w:rsidRDefault="004028A8" w:rsidP="004028A8">
      <w:pPr>
        <w:pStyle w:val="Style1"/>
        <w:numPr>
          <w:ilvl w:val="2"/>
          <w:numId w:val="1"/>
        </w:numPr>
      </w:pPr>
      <w:r>
        <w:t>real HEP experiments at ALICE,</w:t>
      </w:r>
    </w:p>
    <w:p w:rsidR="004028A8" w:rsidRDefault="004028A8" w:rsidP="004028A8">
      <w:pPr>
        <w:pStyle w:val="Style1"/>
        <w:numPr>
          <w:ilvl w:val="3"/>
          <w:numId w:val="1"/>
        </w:numPr>
      </w:pPr>
      <w:r>
        <w:lastRenderedPageBreak/>
        <w:t>Which will be obtained from the WLCG storage system using AliEn, and parsed (using AliRoot) into a data format (.csv/ .json) that can be read into R</w:t>
      </w:r>
    </w:p>
    <w:p w:rsidR="004028A8" w:rsidRDefault="004028A8" w:rsidP="004028A8">
      <w:pPr>
        <w:pStyle w:val="Style1"/>
        <w:numPr>
          <w:ilvl w:val="2"/>
          <w:numId w:val="1"/>
        </w:numPr>
      </w:pPr>
      <w:r>
        <w:t>Simulated event data from Geant4, with parameters tuned to emulate the effect of environmental variables as mentioned in point 2., above.</w:t>
      </w:r>
    </w:p>
    <w:p w:rsidR="004028A8" w:rsidRDefault="004028A8" w:rsidP="004028A8">
      <w:pPr>
        <w:pStyle w:val="Style1"/>
        <w:numPr>
          <w:ilvl w:val="0"/>
          <w:numId w:val="1"/>
        </w:numPr>
        <w:rPr>
          <w:b/>
        </w:rPr>
      </w:pPr>
      <w:r w:rsidRPr="0051651F">
        <w:rPr>
          <w:b/>
        </w:rPr>
        <w:t>To explore variational autoencoders (VAEs) as an alternative methodology for event simulations</w:t>
      </w:r>
    </w:p>
    <w:p w:rsidR="004028A8" w:rsidRDefault="004028A8" w:rsidP="004028A8">
      <w:pPr>
        <w:pStyle w:val="Style1"/>
        <w:numPr>
          <w:ilvl w:val="0"/>
          <w:numId w:val="1"/>
        </w:numPr>
        <w:rPr>
          <w:b/>
        </w:rPr>
      </w:pPr>
      <w:r>
        <w:rPr>
          <w:b/>
        </w:rPr>
        <w:t>To productionalize the most accurate ML simulations of event data (GANs, VAEs, an ensemble of the two, or something completely different)</w:t>
      </w:r>
    </w:p>
    <w:p w:rsidR="004028A8" w:rsidRDefault="004028A8" w:rsidP="004028A8">
      <w:pPr>
        <w:pStyle w:val="Style1"/>
        <w:numPr>
          <w:ilvl w:val="1"/>
          <w:numId w:val="1"/>
        </w:numPr>
      </w:pPr>
      <w:r>
        <w:t>Either by:</w:t>
      </w:r>
    </w:p>
    <w:p w:rsidR="004028A8" w:rsidRDefault="004028A8" w:rsidP="004028A8">
      <w:pPr>
        <w:pStyle w:val="Style1"/>
        <w:numPr>
          <w:ilvl w:val="2"/>
          <w:numId w:val="1"/>
        </w:numPr>
      </w:pPr>
      <w:r>
        <w:t xml:space="preserve"> </w:t>
      </w:r>
      <w:r w:rsidR="003F5960">
        <w:t>reimplementing</w:t>
      </w:r>
      <w:r>
        <w:t xml:space="preserve"> the chosen algorithm in C++, based upon first principles from linear algebra outlined in the Mathematical Theory section in the Background of this document; and utilizing the existing ROOT package for ML, the Toolkit for Multivariate Data Analysis (TMVA) to support the implementation of this</w:t>
      </w:r>
    </w:p>
    <w:p w:rsidR="004028A8" w:rsidRDefault="004028A8" w:rsidP="004028A8">
      <w:pPr>
        <w:pStyle w:val="Style1"/>
        <w:numPr>
          <w:ilvl w:val="2"/>
          <w:numId w:val="1"/>
        </w:numPr>
      </w:pPr>
      <w:r>
        <w:t>Interfacing with ROOT from within R, using ROOT R, and setting up a RESTful API service, using the plumbeR package, to minimize additional dependencies at run time</w:t>
      </w:r>
    </w:p>
    <w:p w:rsidR="00846476" w:rsidRDefault="00846476">
      <w:pPr>
        <w:spacing w:line="259" w:lineRule="auto"/>
        <w:rPr>
          <w:rFonts w:asciiTheme="majorHAnsi" w:eastAsiaTheme="majorEastAsia" w:hAnsiTheme="majorHAnsi" w:cstheme="majorBidi"/>
          <w:color w:val="B68C1F" w:themeColor="accent6" w:themeShade="BF"/>
          <w:sz w:val="40"/>
          <w:szCs w:val="40"/>
        </w:rPr>
      </w:pPr>
      <w:r>
        <w:br w:type="page"/>
      </w:r>
    </w:p>
    <w:p w:rsidR="004028A8" w:rsidRPr="001F74D5" w:rsidRDefault="004028A8" w:rsidP="004028A8">
      <w:pPr>
        <w:pStyle w:val="Heading1"/>
      </w:pPr>
      <w:r>
        <w:lastRenderedPageBreak/>
        <w:t>Planned Deliverables</w:t>
      </w:r>
    </w:p>
    <w:p w:rsidR="004028A8" w:rsidRDefault="004028A8" w:rsidP="004028A8"/>
    <w:p w:rsidR="004028A8" w:rsidRDefault="004028A8" w:rsidP="003F5960">
      <w:pPr>
        <w:pStyle w:val="Style1"/>
        <w:numPr>
          <w:ilvl w:val="0"/>
          <w:numId w:val="3"/>
        </w:numPr>
      </w:pPr>
      <w:r>
        <w:t>Masters Dissertation in fulfilment of degree: MSc Data Science</w:t>
      </w:r>
    </w:p>
    <w:p w:rsidR="004028A8" w:rsidRDefault="003F5960" w:rsidP="003F5960">
      <w:pPr>
        <w:pStyle w:val="Style1"/>
        <w:numPr>
          <w:ilvl w:val="0"/>
          <w:numId w:val="3"/>
        </w:numPr>
      </w:pPr>
      <w:r>
        <w:t>An accurate and efficient</w:t>
      </w:r>
      <w:r w:rsidR="002F4771">
        <w:t xml:space="preserve"> event</w:t>
      </w:r>
      <w:r w:rsidR="004028A8">
        <w:t xml:space="preserve"> simulation framework that can be put into production by the ALICE collaboration, without adding additional dependencies to AliROOT</w:t>
      </w:r>
    </w:p>
    <w:p w:rsidR="00846476" w:rsidRDefault="004028A8" w:rsidP="003F5960">
      <w:pPr>
        <w:pStyle w:val="Style1"/>
        <w:numPr>
          <w:ilvl w:val="0"/>
          <w:numId w:val="3"/>
        </w:numPr>
      </w:pPr>
      <w:r>
        <w:t>The publication of results in a Physics Journal (hopefully)</w:t>
      </w:r>
    </w:p>
    <w:p w:rsidR="004028A8" w:rsidRDefault="004028A8" w:rsidP="00BE08DB">
      <w:pPr>
        <w:pStyle w:val="Heading1"/>
      </w:pPr>
      <w:r>
        <w:t>Github Repository</w:t>
      </w:r>
      <w:bookmarkStart w:id="19" w:name="_GoBack"/>
      <w:bookmarkEnd w:id="0"/>
      <w:bookmarkEnd w:id="19"/>
    </w:p>
    <w:p w:rsidR="004028A8" w:rsidRDefault="004028A8" w:rsidP="004028A8"/>
    <w:p w:rsidR="004028A8" w:rsidRDefault="004028A8" w:rsidP="004028A8">
      <w:r>
        <w:t>A Github repository containing all files relating to this Masters Dissertation exists at:</w:t>
      </w:r>
    </w:p>
    <w:p w:rsidR="00BE08DB" w:rsidRDefault="00601797" w:rsidP="00BE08DB">
      <w:pPr>
        <w:jc w:val="center"/>
      </w:pPr>
      <w:hyperlink r:id="rId9" w:history="1">
        <w:r w:rsidR="004028A8" w:rsidRPr="00567F40">
          <w:rPr>
            <w:rStyle w:val="Hyperlink"/>
          </w:rPr>
          <w:t>https://github.com/PsycheShaman/MSc-thesis</w:t>
        </w:r>
      </w:hyperlink>
    </w:p>
    <w:sdt>
      <w:sdtPr>
        <w:rPr>
          <w:rFonts w:asciiTheme="minorHAnsi" w:eastAsiaTheme="minorEastAsia" w:hAnsiTheme="minorHAnsi" w:cstheme="minorBidi"/>
          <w:color w:val="auto"/>
          <w:sz w:val="21"/>
          <w:szCs w:val="21"/>
        </w:rPr>
        <w:id w:val="-150518854"/>
        <w:docPartObj>
          <w:docPartGallery w:val="Bibliographies"/>
          <w:docPartUnique/>
        </w:docPartObj>
      </w:sdtPr>
      <w:sdtEndPr/>
      <w:sdtContent>
        <w:p w:rsidR="00782920" w:rsidRPr="00BE08DB" w:rsidRDefault="00782920" w:rsidP="00BE08DB">
          <w:pPr>
            <w:pStyle w:val="Heading1"/>
          </w:pPr>
          <w:r>
            <w:t>References</w:t>
          </w:r>
        </w:p>
        <w:sdt>
          <w:sdtPr>
            <w:id w:val="-573587230"/>
            <w:bibliography/>
          </w:sdtPr>
          <w:sdtEndPr/>
          <w:sdtContent>
            <w:p w:rsidR="003F5960" w:rsidRDefault="00782920" w:rsidP="003F5960">
              <w:pPr>
                <w:pStyle w:val="Bibliography"/>
                <w:rPr>
                  <w:noProof/>
                  <w:sz w:val="24"/>
                  <w:szCs w:val="24"/>
                </w:rPr>
              </w:pPr>
              <w:r>
                <w:fldChar w:fldCharType="begin"/>
              </w:r>
              <w:r>
                <w:instrText xml:space="preserve"> BIBLIOGRAPHY </w:instrText>
              </w:r>
              <w:r>
                <w:fldChar w:fldCharType="separate"/>
              </w:r>
              <w:r w:rsidR="003F5960">
                <w:rPr>
                  <w:noProof/>
                </w:rPr>
                <w:t xml:space="preserve">1. </w:t>
              </w:r>
              <w:r w:rsidR="003F5960">
                <w:rPr>
                  <w:i/>
                  <w:iCs/>
                  <w:noProof/>
                </w:rPr>
                <w:t xml:space="preserve">The ALICE Transition Radiation Detector: Construction, operation and performance. </w:t>
              </w:r>
              <w:r w:rsidR="003F5960">
                <w:rPr>
                  <w:b/>
                  <w:bCs/>
                  <w:noProof/>
                </w:rPr>
                <w:t>Collaboration, ALICE.</w:t>
              </w:r>
              <w:r w:rsidR="003F5960">
                <w:rPr>
                  <w:noProof/>
                </w:rPr>
                <w:t xml:space="preserve"> 2018, Nuclear Inst. and Methods in Physics Research, Vol. 881, pp. 88-127.</w:t>
              </w:r>
            </w:p>
            <w:p w:rsidR="003F5960" w:rsidRDefault="003F5960" w:rsidP="003F5960">
              <w:pPr>
                <w:pStyle w:val="Bibliography"/>
                <w:rPr>
                  <w:noProof/>
                </w:rPr>
              </w:pPr>
              <w:r>
                <w:rPr>
                  <w:noProof/>
                </w:rPr>
                <w:t xml:space="preserve">2. </w:t>
              </w:r>
              <w:r>
                <w:rPr>
                  <w:i/>
                  <w:iCs/>
                  <w:noProof/>
                </w:rPr>
                <w:t xml:space="preserve">Generative Models for Fast Cluster Simulations in the TPC for the ALICE Experiment. </w:t>
              </w:r>
              <w:r>
                <w:rPr>
                  <w:b/>
                  <w:bCs/>
                  <w:noProof/>
                </w:rPr>
                <w:t>Deja, Kamil, Trzcinski, Tomasz and Graczykowski, Lukasz.</w:t>
              </w:r>
              <w:r>
                <w:rPr>
                  <w:noProof/>
                </w:rPr>
                <w:t xml:space="preserve"> </w:t>
              </w:r>
            </w:p>
            <w:p w:rsidR="003F5960" w:rsidRDefault="003F5960" w:rsidP="003F5960">
              <w:pPr>
                <w:pStyle w:val="Bibliography"/>
                <w:rPr>
                  <w:noProof/>
                </w:rPr>
              </w:pPr>
              <w:r>
                <w:rPr>
                  <w:noProof/>
                </w:rPr>
                <w:t xml:space="preserve">3. </w:t>
              </w:r>
              <w:r>
                <w:rPr>
                  <w:i/>
                  <w:iCs/>
                  <w:noProof/>
                </w:rPr>
                <w:t xml:space="preserve">Generative Adverserial Nets. </w:t>
              </w:r>
              <w:r>
                <w:rPr>
                  <w:b/>
                  <w:bCs/>
                  <w:noProof/>
                </w:rPr>
                <w:t>Goodfellow, Ian J, et al.</w:t>
              </w:r>
              <w:r>
                <w:rPr>
                  <w:noProof/>
                </w:rPr>
                <w:t xml:space="preserve"> 2014, stat.ML.</w:t>
              </w:r>
            </w:p>
            <w:p w:rsidR="003F5960" w:rsidRDefault="003F5960" w:rsidP="003F5960">
              <w:pPr>
                <w:pStyle w:val="Bibliography"/>
                <w:rPr>
                  <w:noProof/>
                </w:rPr>
              </w:pPr>
              <w:r>
                <w:rPr>
                  <w:noProof/>
                </w:rPr>
                <w:t xml:space="preserve">4. </w:t>
              </w:r>
              <w:r>
                <w:rPr>
                  <w:b/>
                  <w:bCs/>
                  <w:noProof/>
                </w:rPr>
                <w:t>Karazeev, Anton.</w:t>
              </w:r>
              <w:r>
                <w:rPr>
                  <w:noProof/>
                </w:rPr>
                <w:t xml:space="preserve"> Generative Adversarial Networks (GANs): Engine and Applications. </w:t>
              </w:r>
              <w:r>
                <w:rPr>
                  <w:i/>
                  <w:iCs/>
                  <w:noProof/>
                </w:rPr>
                <w:t xml:space="preserve">Stats and Bots. </w:t>
              </w:r>
              <w:r>
                <w:rPr>
                  <w:noProof/>
                </w:rPr>
                <w:t>[Online] [Cited: 6 October 2018.] https://blog.statsbot.co/generative-adversarial-networks-gans-engine-and-applications-f96291965b47.</w:t>
              </w:r>
            </w:p>
            <w:p w:rsidR="003F5960" w:rsidRDefault="003F5960" w:rsidP="003F5960">
              <w:pPr>
                <w:pStyle w:val="Bibliography"/>
                <w:rPr>
                  <w:noProof/>
                </w:rPr>
              </w:pPr>
              <w:r>
                <w:rPr>
                  <w:noProof/>
                </w:rPr>
                <w:t xml:space="preserve">5. </w:t>
              </w:r>
              <w:r>
                <w:rPr>
                  <w:b/>
                  <w:bCs/>
                  <w:noProof/>
                </w:rPr>
                <w:t>H2O.ai.</w:t>
              </w:r>
              <w:r>
                <w:rPr>
                  <w:noProof/>
                </w:rPr>
                <w:t xml:space="preserve"> </w:t>
              </w:r>
            </w:p>
            <w:p w:rsidR="003F5960" w:rsidRDefault="003F5960" w:rsidP="003F5960">
              <w:pPr>
                <w:pStyle w:val="Bibliography"/>
                <w:rPr>
                  <w:noProof/>
                </w:rPr>
              </w:pPr>
              <w:r>
                <w:rPr>
                  <w:noProof/>
                </w:rPr>
                <w:t xml:space="preserve">6. </w:t>
              </w:r>
              <w:r>
                <w:rPr>
                  <w:b/>
                  <w:bCs/>
                  <w:noProof/>
                </w:rPr>
                <w:t>R Core Team.</w:t>
              </w:r>
              <w:r>
                <w:rPr>
                  <w:noProof/>
                </w:rPr>
                <w:t xml:space="preserve"> R: A language and environment for statistical Computing. Vienna : s.n.</w:t>
              </w:r>
            </w:p>
            <w:p w:rsidR="00782920" w:rsidRDefault="00782920" w:rsidP="003F5960">
              <w:r>
                <w:rPr>
                  <w:b/>
                  <w:bCs/>
                  <w:noProof/>
                </w:rPr>
                <w:fldChar w:fldCharType="end"/>
              </w:r>
            </w:p>
          </w:sdtContent>
        </w:sdt>
      </w:sdtContent>
    </w:sdt>
    <w:p w:rsidR="001A24B0" w:rsidRDefault="00601797"/>
    <w:sectPr w:rsidR="001A24B0" w:rsidSect="00A067B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8EA"/>
    <w:multiLevelType w:val="hybridMultilevel"/>
    <w:tmpl w:val="884C348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E4F2E4F"/>
    <w:multiLevelType w:val="hybridMultilevel"/>
    <w:tmpl w:val="91AAAF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62F0764"/>
    <w:multiLevelType w:val="hybridMultilevel"/>
    <w:tmpl w:val="8258EC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A8"/>
    <w:rsid w:val="000A1D54"/>
    <w:rsid w:val="001105C9"/>
    <w:rsid w:val="00263320"/>
    <w:rsid w:val="002F4771"/>
    <w:rsid w:val="003A1564"/>
    <w:rsid w:val="003C1539"/>
    <w:rsid w:val="003F5710"/>
    <w:rsid w:val="003F5960"/>
    <w:rsid w:val="004028A8"/>
    <w:rsid w:val="004973C3"/>
    <w:rsid w:val="00543230"/>
    <w:rsid w:val="00601797"/>
    <w:rsid w:val="006711A5"/>
    <w:rsid w:val="00782920"/>
    <w:rsid w:val="00846476"/>
    <w:rsid w:val="00A067B0"/>
    <w:rsid w:val="00BE08DB"/>
    <w:rsid w:val="00D22F29"/>
    <w:rsid w:val="00DD4E7F"/>
    <w:rsid w:val="00E7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3AF3"/>
  <w15:chartTrackingRefBased/>
  <w15:docId w15:val="{EF7CC90A-821D-45EF-9613-EAC16E0F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8A8"/>
    <w:pPr>
      <w:spacing w:line="480" w:lineRule="auto"/>
    </w:pPr>
    <w:rPr>
      <w:rFonts w:eastAsiaTheme="minorEastAsia"/>
      <w:sz w:val="21"/>
      <w:szCs w:val="21"/>
    </w:rPr>
  </w:style>
  <w:style w:type="paragraph" w:styleId="Heading1">
    <w:name w:val="heading 1"/>
    <w:basedOn w:val="Normal"/>
    <w:next w:val="Normal"/>
    <w:link w:val="Heading1Char"/>
    <w:uiPriority w:val="9"/>
    <w:qFormat/>
    <w:rsid w:val="004028A8"/>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Heading2">
    <w:name w:val="heading 2"/>
    <w:basedOn w:val="Normal"/>
    <w:next w:val="Normal"/>
    <w:link w:val="Heading2Char"/>
    <w:uiPriority w:val="9"/>
    <w:unhideWhenUsed/>
    <w:qFormat/>
    <w:rsid w:val="004028A8"/>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Heading3">
    <w:name w:val="heading 3"/>
    <w:basedOn w:val="Normal"/>
    <w:next w:val="Normal"/>
    <w:link w:val="Heading3Char"/>
    <w:uiPriority w:val="9"/>
    <w:semiHidden/>
    <w:unhideWhenUsed/>
    <w:qFormat/>
    <w:rsid w:val="00A067B0"/>
    <w:pPr>
      <w:keepNext/>
      <w:keepLines/>
      <w:spacing w:before="40" w:after="0"/>
      <w:outlineLvl w:val="2"/>
    </w:pPr>
    <w:rPr>
      <w:rFonts w:asciiTheme="majorHAnsi" w:eastAsiaTheme="majorEastAsia" w:hAnsiTheme="majorHAnsi" w:cstheme="majorBidi"/>
      <w:color w:val="414C1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A8"/>
    <w:rPr>
      <w:rFonts w:asciiTheme="majorHAnsi" w:eastAsiaTheme="majorEastAsia" w:hAnsiTheme="majorHAnsi" w:cstheme="majorBidi"/>
      <w:color w:val="B68C1F" w:themeColor="accent6" w:themeShade="BF"/>
      <w:sz w:val="40"/>
      <w:szCs w:val="40"/>
    </w:rPr>
  </w:style>
  <w:style w:type="character" w:customStyle="1" w:styleId="Heading2Char">
    <w:name w:val="Heading 2 Char"/>
    <w:basedOn w:val="DefaultParagraphFont"/>
    <w:link w:val="Heading2"/>
    <w:uiPriority w:val="9"/>
    <w:rsid w:val="004028A8"/>
    <w:rPr>
      <w:rFonts w:asciiTheme="majorHAnsi" w:eastAsiaTheme="majorEastAsia" w:hAnsiTheme="majorHAnsi" w:cstheme="majorBidi"/>
      <w:color w:val="B68C1F" w:themeColor="accent6" w:themeShade="BF"/>
      <w:sz w:val="28"/>
      <w:szCs w:val="28"/>
    </w:rPr>
  </w:style>
  <w:style w:type="character" w:styleId="Emphasis">
    <w:name w:val="Emphasis"/>
    <w:basedOn w:val="DefaultParagraphFont"/>
    <w:uiPriority w:val="20"/>
    <w:qFormat/>
    <w:rsid w:val="004028A8"/>
    <w:rPr>
      <w:i/>
      <w:iCs/>
      <w:color w:val="DEB340" w:themeColor="accent6"/>
    </w:rPr>
  </w:style>
  <w:style w:type="character" w:styleId="Hyperlink">
    <w:name w:val="Hyperlink"/>
    <w:basedOn w:val="DefaultParagraphFont"/>
    <w:uiPriority w:val="99"/>
    <w:unhideWhenUsed/>
    <w:rsid w:val="004028A8"/>
    <w:rPr>
      <w:color w:val="A8BF4D" w:themeColor="hyperlink"/>
      <w:u w:val="single"/>
    </w:rPr>
  </w:style>
  <w:style w:type="paragraph" w:styleId="ListParagraph">
    <w:name w:val="List Paragraph"/>
    <w:basedOn w:val="Normal"/>
    <w:uiPriority w:val="34"/>
    <w:qFormat/>
    <w:rsid w:val="004028A8"/>
    <w:pPr>
      <w:ind w:left="720"/>
      <w:contextualSpacing/>
    </w:pPr>
  </w:style>
  <w:style w:type="paragraph" w:customStyle="1" w:styleId="Style1">
    <w:name w:val="Style1"/>
    <w:basedOn w:val="Normal"/>
    <w:link w:val="Style1Char"/>
    <w:qFormat/>
    <w:rsid w:val="004028A8"/>
    <w:rPr>
      <w:sz w:val="24"/>
    </w:rPr>
  </w:style>
  <w:style w:type="character" w:customStyle="1" w:styleId="Style1Char">
    <w:name w:val="Style1 Char"/>
    <w:basedOn w:val="DefaultParagraphFont"/>
    <w:link w:val="Style1"/>
    <w:rsid w:val="004028A8"/>
    <w:rPr>
      <w:rFonts w:eastAsiaTheme="minorEastAsia"/>
      <w:sz w:val="24"/>
      <w:szCs w:val="21"/>
    </w:rPr>
  </w:style>
  <w:style w:type="table" w:styleId="GridTable4-Accent5">
    <w:name w:val="Grid Table 4 Accent 5"/>
    <w:basedOn w:val="TableNormal"/>
    <w:uiPriority w:val="49"/>
    <w:rsid w:val="004028A8"/>
    <w:pPr>
      <w:spacing w:after="0" w:line="240" w:lineRule="auto"/>
    </w:pPr>
    <w:rPr>
      <w:rFonts w:eastAsiaTheme="minorEastAsia"/>
      <w:sz w:val="21"/>
      <w:szCs w:val="21"/>
    </w:rPr>
    <w:tblPr>
      <w:tblStyleRowBandSize w:val="1"/>
      <w:tblStyleColBandSize w:val="1"/>
      <w:tblBorders>
        <w:top w:val="single" w:sz="4" w:space="0" w:color="E8AD7D" w:themeColor="accent5" w:themeTint="99"/>
        <w:left w:val="single" w:sz="4" w:space="0" w:color="E8AD7D" w:themeColor="accent5" w:themeTint="99"/>
        <w:bottom w:val="single" w:sz="4" w:space="0" w:color="E8AD7D" w:themeColor="accent5" w:themeTint="99"/>
        <w:right w:val="single" w:sz="4" w:space="0" w:color="E8AD7D" w:themeColor="accent5" w:themeTint="99"/>
        <w:insideH w:val="single" w:sz="4" w:space="0" w:color="E8AD7D" w:themeColor="accent5" w:themeTint="99"/>
        <w:insideV w:val="single" w:sz="4" w:space="0" w:color="E8AD7D" w:themeColor="accent5" w:themeTint="99"/>
      </w:tblBorders>
    </w:tblPr>
    <w:tblStylePr w:type="firstRow">
      <w:rPr>
        <w:b/>
        <w:bCs/>
        <w:color w:val="FFFFFF" w:themeColor="background1"/>
      </w:rPr>
      <w:tblPr/>
      <w:tcPr>
        <w:tcBorders>
          <w:top w:val="single" w:sz="4" w:space="0" w:color="D97828" w:themeColor="accent5"/>
          <w:left w:val="single" w:sz="4" w:space="0" w:color="D97828" w:themeColor="accent5"/>
          <w:bottom w:val="single" w:sz="4" w:space="0" w:color="D97828" w:themeColor="accent5"/>
          <w:right w:val="single" w:sz="4" w:space="0" w:color="D97828" w:themeColor="accent5"/>
          <w:insideH w:val="nil"/>
          <w:insideV w:val="nil"/>
        </w:tcBorders>
        <w:shd w:val="clear" w:color="auto" w:fill="D97828" w:themeFill="accent5"/>
      </w:tcPr>
    </w:tblStylePr>
    <w:tblStylePr w:type="lastRow">
      <w:rPr>
        <w:b/>
        <w:bCs/>
      </w:rPr>
      <w:tblPr/>
      <w:tcPr>
        <w:tcBorders>
          <w:top w:val="double" w:sz="4" w:space="0" w:color="D97828" w:themeColor="accent5"/>
        </w:tcBorders>
      </w:tcPr>
    </w:tblStylePr>
    <w:tblStylePr w:type="firstCol">
      <w:rPr>
        <w:b/>
        <w:bCs/>
      </w:rPr>
    </w:tblStylePr>
    <w:tblStylePr w:type="lastCol">
      <w:rPr>
        <w:b/>
        <w:bCs/>
      </w:rPr>
    </w:tblStylePr>
    <w:tblStylePr w:type="band1Vert">
      <w:tblPr/>
      <w:tcPr>
        <w:shd w:val="clear" w:color="auto" w:fill="F7E3D3" w:themeFill="accent5" w:themeFillTint="33"/>
      </w:tcPr>
    </w:tblStylePr>
    <w:tblStylePr w:type="band1Horz">
      <w:tblPr/>
      <w:tcPr>
        <w:shd w:val="clear" w:color="auto" w:fill="F7E3D3" w:themeFill="accent5" w:themeFillTint="33"/>
      </w:tcPr>
    </w:tblStylePr>
  </w:style>
  <w:style w:type="paragraph" w:styleId="Title">
    <w:name w:val="Title"/>
    <w:basedOn w:val="Normal"/>
    <w:next w:val="Normal"/>
    <w:link w:val="TitleChar"/>
    <w:uiPriority w:val="10"/>
    <w:qFormat/>
    <w:rsid w:val="00402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8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067B0"/>
    <w:rPr>
      <w:rFonts w:asciiTheme="majorHAnsi" w:eastAsiaTheme="majorEastAsia" w:hAnsiTheme="majorHAnsi" w:cstheme="majorBidi"/>
      <w:color w:val="414C15" w:themeColor="accent1" w:themeShade="7F"/>
      <w:sz w:val="24"/>
      <w:szCs w:val="24"/>
    </w:rPr>
  </w:style>
  <w:style w:type="paragraph" w:styleId="NoSpacing">
    <w:name w:val="No Spacing"/>
    <w:uiPriority w:val="1"/>
    <w:qFormat/>
    <w:rsid w:val="00A067B0"/>
    <w:pPr>
      <w:spacing w:after="0" w:line="240" w:lineRule="auto"/>
    </w:pPr>
    <w:rPr>
      <w:rFonts w:eastAsiaTheme="minorEastAsia"/>
      <w:sz w:val="21"/>
      <w:szCs w:val="21"/>
    </w:rPr>
  </w:style>
  <w:style w:type="table" w:styleId="TableGrid">
    <w:name w:val="Table Grid"/>
    <w:basedOn w:val="TableNormal"/>
    <w:uiPriority w:val="39"/>
    <w:rsid w:val="00A067B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2920"/>
  </w:style>
  <w:style w:type="character" w:styleId="CommentReference">
    <w:name w:val="annotation reference"/>
    <w:basedOn w:val="DefaultParagraphFont"/>
    <w:uiPriority w:val="99"/>
    <w:semiHidden/>
    <w:unhideWhenUsed/>
    <w:rsid w:val="00BE08DB"/>
    <w:rPr>
      <w:sz w:val="16"/>
      <w:szCs w:val="16"/>
    </w:rPr>
  </w:style>
  <w:style w:type="paragraph" w:styleId="CommentText">
    <w:name w:val="annotation text"/>
    <w:basedOn w:val="Normal"/>
    <w:link w:val="CommentTextChar"/>
    <w:uiPriority w:val="99"/>
    <w:semiHidden/>
    <w:unhideWhenUsed/>
    <w:rsid w:val="00BE08DB"/>
    <w:pPr>
      <w:spacing w:line="240" w:lineRule="auto"/>
    </w:pPr>
    <w:rPr>
      <w:sz w:val="20"/>
      <w:szCs w:val="20"/>
    </w:rPr>
  </w:style>
  <w:style w:type="character" w:customStyle="1" w:styleId="CommentTextChar">
    <w:name w:val="Comment Text Char"/>
    <w:basedOn w:val="DefaultParagraphFont"/>
    <w:link w:val="CommentText"/>
    <w:uiPriority w:val="99"/>
    <w:semiHidden/>
    <w:rsid w:val="00BE08D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E08DB"/>
    <w:rPr>
      <w:b/>
      <w:bCs/>
    </w:rPr>
  </w:style>
  <w:style w:type="character" w:customStyle="1" w:styleId="CommentSubjectChar">
    <w:name w:val="Comment Subject Char"/>
    <w:basedOn w:val="CommentTextChar"/>
    <w:link w:val="CommentSubject"/>
    <w:uiPriority w:val="99"/>
    <w:semiHidden/>
    <w:rsid w:val="00BE08DB"/>
    <w:rPr>
      <w:rFonts w:eastAsiaTheme="minorEastAsia"/>
      <w:b/>
      <w:bCs/>
      <w:sz w:val="20"/>
      <w:szCs w:val="20"/>
    </w:rPr>
  </w:style>
  <w:style w:type="paragraph" w:styleId="BalloonText">
    <w:name w:val="Balloon Text"/>
    <w:basedOn w:val="Normal"/>
    <w:link w:val="BalloonTextChar"/>
    <w:uiPriority w:val="99"/>
    <w:semiHidden/>
    <w:unhideWhenUsed/>
    <w:rsid w:val="00BE08DB"/>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E08DB"/>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8730">
      <w:bodyDiv w:val="1"/>
      <w:marLeft w:val="0"/>
      <w:marRight w:val="0"/>
      <w:marTop w:val="0"/>
      <w:marBottom w:val="0"/>
      <w:divBdr>
        <w:top w:val="none" w:sz="0" w:space="0" w:color="auto"/>
        <w:left w:val="none" w:sz="0" w:space="0" w:color="auto"/>
        <w:bottom w:val="none" w:sz="0" w:space="0" w:color="auto"/>
        <w:right w:val="none" w:sz="0" w:space="0" w:color="auto"/>
      </w:divBdr>
    </w:div>
    <w:div w:id="184170794">
      <w:bodyDiv w:val="1"/>
      <w:marLeft w:val="0"/>
      <w:marRight w:val="0"/>
      <w:marTop w:val="0"/>
      <w:marBottom w:val="0"/>
      <w:divBdr>
        <w:top w:val="none" w:sz="0" w:space="0" w:color="auto"/>
        <w:left w:val="none" w:sz="0" w:space="0" w:color="auto"/>
        <w:bottom w:val="none" w:sz="0" w:space="0" w:color="auto"/>
        <w:right w:val="none" w:sz="0" w:space="0" w:color="auto"/>
      </w:divBdr>
    </w:div>
    <w:div w:id="596598103">
      <w:bodyDiv w:val="1"/>
      <w:marLeft w:val="0"/>
      <w:marRight w:val="0"/>
      <w:marTop w:val="0"/>
      <w:marBottom w:val="0"/>
      <w:divBdr>
        <w:top w:val="none" w:sz="0" w:space="0" w:color="auto"/>
        <w:left w:val="none" w:sz="0" w:space="0" w:color="auto"/>
        <w:bottom w:val="none" w:sz="0" w:space="0" w:color="auto"/>
        <w:right w:val="none" w:sz="0" w:space="0" w:color="auto"/>
      </w:divBdr>
    </w:div>
    <w:div w:id="891580074">
      <w:bodyDiv w:val="1"/>
      <w:marLeft w:val="0"/>
      <w:marRight w:val="0"/>
      <w:marTop w:val="0"/>
      <w:marBottom w:val="0"/>
      <w:divBdr>
        <w:top w:val="none" w:sz="0" w:space="0" w:color="auto"/>
        <w:left w:val="none" w:sz="0" w:space="0" w:color="auto"/>
        <w:bottom w:val="none" w:sz="0" w:space="0" w:color="auto"/>
        <w:right w:val="none" w:sz="0" w:space="0" w:color="auto"/>
      </w:divBdr>
    </w:div>
    <w:div w:id="1327172998">
      <w:bodyDiv w:val="1"/>
      <w:marLeft w:val="0"/>
      <w:marRight w:val="0"/>
      <w:marTop w:val="0"/>
      <w:marBottom w:val="0"/>
      <w:divBdr>
        <w:top w:val="none" w:sz="0" w:space="0" w:color="auto"/>
        <w:left w:val="none" w:sz="0" w:space="0" w:color="auto"/>
        <w:bottom w:val="none" w:sz="0" w:space="0" w:color="auto"/>
        <w:right w:val="none" w:sz="0" w:space="0" w:color="auto"/>
      </w:divBdr>
    </w:div>
    <w:div w:id="1485318238">
      <w:bodyDiv w:val="1"/>
      <w:marLeft w:val="0"/>
      <w:marRight w:val="0"/>
      <w:marTop w:val="0"/>
      <w:marBottom w:val="0"/>
      <w:divBdr>
        <w:top w:val="none" w:sz="0" w:space="0" w:color="auto"/>
        <w:left w:val="none" w:sz="0" w:space="0" w:color="auto"/>
        <w:bottom w:val="none" w:sz="0" w:space="0" w:color="auto"/>
        <w:right w:val="none" w:sz="0" w:space="0" w:color="auto"/>
      </w:divBdr>
    </w:div>
    <w:div w:id="1709066452">
      <w:bodyDiv w:val="1"/>
      <w:marLeft w:val="0"/>
      <w:marRight w:val="0"/>
      <w:marTop w:val="0"/>
      <w:marBottom w:val="0"/>
      <w:divBdr>
        <w:top w:val="none" w:sz="0" w:space="0" w:color="auto"/>
        <w:left w:val="none" w:sz="0" w:space="0" w:color="auto"/>
        <w:bottom w:val="none" w:sz="0" w:space="0" w:color="auto"/>
        <w:right w:val="none" w:sz="0" w:space="0" w:color="auto"/>
      </w:divBdr>
    </w:div>
    <w:div w:id="1822380828">
      <w:bodyDiv w:val="1"/>
      <w:marLeft w:val="0"/>
      <w:marRight w:val="0"/>
      <w:marTop w:val="0"/>
      <w:marBottom w:val="0"/>
      <w:divBdr>
        <w:top w:val="none" w:sz="0" w:space="0" w:color="auto"/>
        <w:left w:val="none" w:sz="0" w:space="0" w:color="auto"/>
        <w:bottom w:val="none" w:sz="0" w:space="0" w:color="auto"/>
        <w:right w:val="none" w:sz="0" w:space="0" w:color="auto"/>
      </w:divBdr>
    </w:div>
    <w:div w:id="1846555952">
      <w:bodyDiv w:val="1"/>
      <w:marLeft w:val="0"/>
      <w:marRight w:val="0"/>
      <w:marTop w:val="0"/>
      <w:marBottom w:val="0"/>
      <w:divBdr>
        <w:top w:val="none" w:sz="0" w:space="0" w:color="auto"/>
        <w:left w:val="none" w:sz="0" w:space="0" w:color="auto"/>
        <w:bottom w:val="none" w:sz="0" w:space="0" w:color="auto"/>
        <w:right w:val="none" w:sz="0" w:space="0" w:color="auto"/>
      </w:divBdr>
    </w:div>
    <w:div w:id="1846700263">
      <w:bodyDiv w:val="1"/>
      <w:marLeft w:val="0"/>
      <w:marRight w:val="0"/>
      <w:marTop w:val="0"/>
      <w:marBottom w:val="0"/>
      <w:divBdr>
        <w:top w:val="none" w:sz="0" w:space="0" w:color="auto"/>
        <w:left w:val="none" w:sz="0" w:space="0" w:color="auto"/>
        <w:bottom w:val="none" w:sz="0" w:space="0" w:color="auto"/>
        <w:right w:val="none" w:sz="0" w:space="0" w:color="auto"/>
      </w:divBdr>
    </w:div>
    <w:div w:id="18675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mailto:thomas.dietel@cer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iaan.viljoen@cern.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cheShaman/MSc-thesis"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Col18</b:Tag>
    <b:SourceType>JournalArticle</b:SourceType>
    <b:Guid>{FC36A6E4-80F6-440A-8B76-199AC80DB821}</b:Guid>
    <b:Title>The ALICE Transition Radiation Detector: Construction, operation and performance</b:Title>
    <b:Year>2018</b:Year>
    <b:Author>
      <b:Author>
        <b:NameList>
          <b:Person>
            <b:Last>Collaboration</b:Last>
            <b:First>ALICE</b:First>
          </b:Person>
        </b:NameList>
      </b:Author>
    </b:Author>
    <b:JournalName>Nuclear Inst. and Methods in Physics Research</b:JournalName>
    <b:Pages>88-127</b:Pages>
    <b:Volume>881</b:Volume>
    <b:URL>http://dx.doi.org/10.1016/j.nima.2017.09.028</b:URL>
    <b:RefOrder>1</b:RefOrder>
  </b:Source>
  <b:Source>
    <b:Tag>Dej</b:Tag>
    <b:SourceType>JournalArticle</b:SourceType>
    <b:Guid>{D294872C-1A6C-418F-AD3B-FEE8C153B912}</b:Guid>
    <b:Title>Generative Models for Fast Cluster Simulations in the TPC for the ALICE Experiment</b:Title>
    <b:Author>
      <b:Author>
        <b:NameList>
          <b:Person>
            <b:Last>Deja</b:Last>
            <b:First>Kamil</b:First>
          </b:Person>
          <b:Person>
            <b:Last>Trzcinski</b:Last>
            <b:First>Tomasz</b:First>
          </b:Person>
          <b:Person>
            <b:Last>Graczykowski</b:Last>
            <b:First>Lukasz</b:First>
          </b:Person>
        </b:NameList>
      </b:Author>
    </b:Author>
    <b:RefOrder>2</b:RefOrder>
  </b:Source>
  <b:Source>
    <b:Tag>Goo14</b:Tag>
    <b:SourceType>JournalArticle</b:SourceType>
    <b:Guid>{C443D1A5-31A8-4FC8-8F65-0959528CD740}</b:Guid>
    <b:Title>Generative Adverserial Nets</b:Title>
    <b:Year>2014</b:Year>
    <b:URL>https://arxiv.org/abs/1406.2661</b:URL>
    <b:Author>
      <b:Author>
        <b:NameList>
          <b:Person>
            <b:Last>Goodfellow</b:Last>
            <b:Middle>J</b:Middle>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Joshua</b:First>
          </b:Person>
        </b:NameList>
      </b:Author>
    </b:Author>
    <b:JournalName>stat.ML</b:JournalName>
    <b:RefOrder>3</b:RefOrder>
  </b:Source>
  <b:Source>
    <b:Tag>Ant18</b:Tag>
    <b:SourceType>InternetSite</b:SourceType>
    <b:Guid>{8AD71E03-A63F-4F98-B8FA-0E3FBFC160B2}</b:Guid>
    <b:Title>Generative Adversarial Networks (GANs): Engine and Applications</b:Title>
    <b:Author>
      <b:Author>
        <b:NameList>
          <b:Person>
            <b:Last>Karazeev</b:Last>
            <b:First>Anton</b:First>
          </b:Person>
        </b:NameList>
      </b:Author>
    </b:Author>
    <b:InternetSiteTitle>Stats and Bots</b:InternetSiteTitle>
    <b:YearAccessed>2018</b:YearAccessed>
    <b:MonthAccessed>October</b:MonthAccessed>
    <b:DayAccessed>6</b:DayAccessed>
    <b:URL>https://blog.statsbot.co/generative-adversarial-networks-gans-engine-and-applications-f96291965b47</b:URL>
    <b:RefOrder>4</b:RefOrder>
  </b:Source>
  <b:Source>
    <b:Tag>H2O</b:Tag>
    <b:SourceType>Misc</b:SourceType>
    <b:Guid>{71427FE6-4544-46B5-847D-B9BD2EE4CB91}</b:Guid>
    <b:Author>
      <b:Author>
        <b:Corporate>H2O.ai</b:Corporate>
      </b:Author>
    </b:Author>
    <b:URL>http://docs.h2o.ai/h2o/latest-stable/h2o-docs/data-science/deep-learning.html</b:URL>
    <b:RefOrder>5</b:RefOrder>
  </b:Source>
  <b:Source>
    <b:Tag>RCo</b:Tag>
    <b:SourceType>Misc</b:SourceType>
    <b:Guid>{AD23A833-A731-44E7-89E2-8433BF7EAE5D}</b:Guid>
    <b:Author>
      <b:Author>
        <b:Corporate>R Core Team</b:Corporate>
      </b:Author>
    </b:Author>
    <b:Title>R: A language and environment for statistical Computing</b:Title>
    <b:City>Vienna</b:City>
    <b:URL>http://www.R-project.org/</b:URL>
    <b:RefOrder>6</b:RefOrder>
  </b:Source>
</b:Sources>
</file>

<file path=customXml/itemProps1.xml><?xml version="1.0" encoding="utf-8"?>
<ds:datastoreItem xmlns:ds="http://schemas.openxmlformats.org/officeDocument/2006/customXml" ds:itemID="{E6F85620-688D-41C8-ADDD-2223095F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 - BCX</dc:creator>
  <cp:keywords/>
  <dc:description/>
  <cp:lastModifiedBy>Gerhard Viljoen - BCX</cp:lastModifiedBy>
  <cp:revision>17</cp:revision>
  <dcterms:created xsi:type="dcterms:W3CDTF">2018-10-06T14:06:00Z</dcterms:created>
  <dcterms:modified xsi:type="dcterms:W3CDTF">2018-10-15T09:02:00Z</dcterms:modified>
</cp:coreProperties>
</file>