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F39E8" w14:textId="77777777" w:rsidR="007B3FD3" w:rsidRDefault="007B3FD3" w:rsidP="007B3FD3">
      <w:pPr>
        <w:pStyle w:val="AppendixHeading1"/>
      </w:pPr>
      <w:bookmarkStart w:id="0" w:name="_Toc25871551"/>
      <w:r>
        <w:t>Appendix VII: The Birth of Deep Learning: Rosenblatt’s Perceptron</w:t>
      </w:r>
      <w:bookmarkEnd w:id="0"/>
    </w:p>
    <w:p w14:paraId="79ED257C" w14:textId="77777777" w:rsidR="007B3FD3" w:rsidRPr="005B72BD" w:rsidRDefault="007B3FD3" w:rsidP="007B3FD3">
      <w:r w:rsidRPr="005B72BD">
        <w:t xml:space="preserve">The original Rosenblatt paper </w:t>
      </w:r>
      <w:sdt>
        <w:sdtPr>
          <w:id w:val="373516152"/>
          <w:citation/>
        </w:sdtPr>
        <w:sdtContent>
          <w:r w:rsidRPr="005B72BD">
            <w:fldChar w:fldCharType="begin"/>
          </w:r>
          <w:r w:rsidRPr="005B72BD">
            <w:rPr>
              <w:lang w:val="en-US"/>
            </w:rPr>
            <w:instrText xml:space="preserve"> CITATION Ros58 \l 1033 </w:instrText>
          </w:r>
          <w:r w:rsidRPr="005B72BD">
            <w:fldChar w:fldCharType="separate"/>
          </w:r>
          <w:r w:rsidRPr="00B8556B">
            <w:rPr>
              <w:lang w:val="en-US"/>
            </w:rPr>
            <w:t>[45]</w:t>
          </w:r>
          <w:r w:rsidRPr="005B72BD">
            <w:fldChar w:fldCharType="end"/>
          </w:r>
        </w:sdtContent>
      </w:sdt>
      <w:r w:rsidRPr="005B72BD">
        <w:t xml:space="preserve"> outlining the concept of the “perceptron” aimed to develop a theory to explain: 1. How sensory information is detected by biological organisms, 2. how that information is subsequently processed and stored and 3. how mental comprehension or organismal behaviour (which he termed “preference for a particular response”) was driven by the first two processes.</w:t>
      </w:r>
    </w:p>
    <w:p w14:paraId="19C40CB2" w14:textId="77777777" w:rsidR="007B3FD3" w:rsidRPr="005B72BD" w:rsidRDefault="007B3FD3" w:rsidP="007B3FD3">
      <w:r w:rsidRPr="005B72BD">
        <w:t>He outlined a mathematical framework for these mechanisms, at the hand of the following constructs:</w:t>
      </w:r>
    </w:p>
    <w:p w14:paraId="1127CBE1" w14:textId="77777777" w:rsidR="007B3FD3" w:rsidRPr="005B72BD" w:rsidRDefault="007B3FD3" w:rsidP="007B3FD3">
      <w:r w:rsidRPr="005B72BD">
        <w:t xml:space="preserve">1. </w:t>
      </w:r>
      <w:r w:rsidRPr="005B72BD">
        <w:rPr>
          <w:b/>
        </w:rPr>
        <w:t>S-points:</w:t>
      </w:r>
      <w:r w:rsidRPr="005B72BD">
        <w:t xml:space="preserve"> sensory units which can possess any of a number of response curves based on the signal strength of incoming information</w:t>
      </w:r>
    </w:p>
    <w:p w14:paraId="3EC52798" w14:textId="77777777" w:rsidR="007B3FD3" w:rsidRPr="005B72BD" w:rsidRDefault="007B3FD3" w:rsidP="007B3FD3">
      <w:r w:rsidRPr="005B72BD">
        <w:t xml:space="preserve">2. </w:t>
      </w:r>
      <w:r w:rsidRPr="005B72BD">
        <w:rPr>
          <w:b/>
        </w:rPr>
        <w:t xml:space="preserve">A-units: </w:t>
      </w:r>
      <w:r w:rsidRPr="005B72BD">
        <w:t xml:space="preserve">association cells located in an “association area” </w:t>
      </w:r>
      <m:oMath>
        <m:sSub>
          <m:sSubPr>
            <m:ctrlPr/>
          </m:sSubPr>
          <m:e>
            <m:r>
              <m:t>A</m:t>
            </m:r>
          </m:e>
          <m:sub>
            <m:r>
              <m:t>II</m:t>
            </m:r>
          </m:sub>
        </m:sSub>
      </m:oMath>
      <w:r w:rsidRPr="005B72BD">
        <w:t xml:space="preserve">, which in some of his models was preceded by a “projection area” </w:t>
      </w:r>
      <m:oMath>
        <m:sSub>
          <m:sSubPr>
            <m:ctrlPr/>
          </m:sSubPr>
          <m:e>
            <m:r>
              <m:t>A</m:t>
            </m:r>
          </m:e>
          <m:sub>
            <m:r>
              <m:t>I</m:t>
            </m:r>
          </m:sub>
        </m:sSub>
      </m:oMath>
    </w:p>
    <w:p w14:paraId="2C8CB62E" w14:textId="77777777" w:rsidR="007B3FD3" w:rsidRPr="005B72BD" w:rsidRDefault="007B3FD3" w:rsidP="007B3FD3">
      <w:r w:rsidRPr="005B72BD">
        <w:t xml:space="preserve">3. S-points are connected in specific ways to A-units and forward their stimulus response to them, in the form of an inhibitory or an excitatory impulse </w:t>
      </w:r>
    </w:p>
    <w:p w14:paraId="2D35D2E3" w14:textId="77777777" w:rsidR="007B3FD3" w:rsidRPr="005B72BD" w:rsidRDefault="007B3FD3" w:rsidP="007B3FD3">
      <w:r w:rsidRPr="005B72BD">
        <w:t xml:space="preserve">4. </w:t>
      </w:r>
      <m:oMath>
        <m:r>
          <m:rPr>
            <m:sty m:val="bi"/>
          </m:rPr>
          <m:t>θ</m:t>
        </m:r>
      </m:oMath>
      <w:r w:rsidRPr="005B72BD">
        <w:t>: A threshold value assigned to each A-unit dictates whether it will fire, based on the algebraic sum of excitatory and inhibitory signals received, from either S-points or preceding A-units</w:t>
      </w:r>
    </w:p>
    <w:p w14:paraId="04E80F95" w14:textId="77777777" w:rsidR="007B3FD3" w:rsidRPr="005B72BD" w:rsidRDefault="007B3FD3" w:rsidP="007B3FD3">
      <w:r w:rsidRPr="005B72BD">
        <w:t>5. The connections between S-points and A-units, and between A-units themselves is random, and not all elements of such a network are connected to each other</w:t>
      </w:r>
    </w:p>
    <w:p w14:paraId="55AA74AF" w14:textId="77777777" w:rsidR="007B3FD3" w:rsidRPr="005B72BD" w:rsidRDefault="007B3FD3" w:rsidP="007B3FD3">
      <w:r w:rsidRPr="005B72BD">
        <w:t xml:space="preserve">6. Response units, </w:t>
      </w:r>
      <m:oMath>
        <m:sSub>
          <m:sSubPr>
            <m:ctrlPr/>
          </m:sSubPr>
          <m:e>
            <m:r>
              <m:t>R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>
            <m:ctrlPr/>
          </m:sSubPr>
          <m:e>
            <m:r>
              <m:t>R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,…,</m:t>
        </m:r>
        <m:sSub>
          <m:sSubPr>
            <m:ctrlPr/>
          </m:sSubPr>
          <m:e>
            <m:r>
              <m:t>R</m:t>
            </m:r>
          </m:e>
          <m:sub>
            <m:r>
              <m:t>n</m:t>
            </m:r>
          </m:sub>
        </m:sSub>
      </m:oMath>
      <w:r w:rsidRPr="005B72BD">
        <w:t xml:space="preserve">, receive a large number of inputs from the </w:t>
      </w:r>
      <m:oMath>
        <m:sSub>
          <m:sSubPr>
            <m:ctrlPr/>
          </m:sSubPr>
          <m:e>
            <m:r>
              <m:t>A</m:t>
            </m:r>
          </m:e>
          <m:sub>
            <m:r>
              <m:t>II</m:t>
            </m:r>
          </m:sub>
        </m:sSub>
      </m:oMath>
      <w:r w:rsidRPr="005B72BD">
        <w:t xml:space="preserve"> set, called its source-set, and have feedback mechanisms to A-units in its source set.</w:t>
      </w:r>
      <w:sdt>
        <w:sdtPr>
          <w:id w:val="-1275795032"/>
          <w:citation/>
        </w:sdtPr>
        <w:sdtContent>
          <w:r w:rsidRPr="005B72BD">
            <w:fldChar w:fldCharType="begin"/>
          </w:r>
          <w:r w:rsidRPr="005B72BD">
            <w:rPr>
              <w:lang w:val="en-US"/>
            </w:rPr>
            <w:instrText xml:space="preserve"> CITATION Ros58 \l 1033 </w:instrText>
          </w:r>
          <w:r w:rsidRPr="005B72BD">
            <w:fldChar w:fldCharType="separate"/>
          </w:r>
          <w:r>
            <w:rPr>
              <w:lang w:val="en-US"/>
            </w:rPr>
            <w:t xml:space="preserve"> </w:t>
          </w:r>
          <w:r w:rsidRPr="00B8556B">
            <w:rPr>
              <w:lang w:val="en-US"/>
            </w:rPr>
            <w:t>[45]</w:t>
          </w:r>
          <w:r w:rsidRPr="005B72BD">
            <w:fldChar w:fldCharType="end"/>
          </w:r>
        </w:sdtContent>
      </w:sdt>
    </w:p>
    <w:p w14:paraId="074B4833" w14:textId="77777777" w:rsidR="007B3FD3" w:rsidRDefault="007B3FD3" w:rsidP="007B3FD3">
      <w:r w:rsidRPr="005B72BD">
        <w:t xml:space="preserve">He put forth various models for response curve summation and how these networks would learn </w:t>
      </w:r>
      <w:sdt>
        <w:sdtPr>
          <w:id w:val="-583137323"/>
          <w:citation/>
        </w:sdtPr>
        <w:sdtContent>
          <w:r w:rsidRPr="005B72BD">
            <w:fldChar w:fldCharType="begin"/>
          </w:r>
          <w:r w:rsidRPr="005B72BD">
            <w:rPr>
              <w:lang w:val="en-US"/>
            </w:rPr>
            <w:instrText xml:space="preserve"> CITATION Ros58 \l 1033 </w:instrText>
          </w:r>
          <w:r w:rsidRPr="005B72BD">
            <w:fldChar w:fldCharType="separate"/>
          </w:r>
          <w:r w:rsidRPr="00B8556B">
            <w:rPr>
              <w:lang w:val="en-US"/>
            </w:rPr>
            <w:t>[45]</w:t>
          </w:r>
          <w:r w:rsidRPr="005B72BD">
            <w:fldChar w:fldCharType="end"/>
          </w:r>
        </w:sdtContent>
      </w:sdt>
      <w:r w:rsidRPr="005B72BD">
        <w:t>, but while the mathematical constructs he proposed were oversimplifications of the complexity of biological brains, they were found to be extremely useful in training computers to emulate their capabilities.</w:t>
      </w:r>
    </w:p>
    <w:p w14:paraId="3864EBE9" w14:textId="77777777" w:rsidR="0036526E" w:rsidRDefault="007B3FD3">
      <w:bookmarkStart w:id="1" w:name="_GoBack"/>
      <w:bookmarkEnd w:id="1"/>
    </w:p>
    <w:sectPr w:rsidR="0036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3"/>
    <w:rsid w:val="00137EA5"/>
    <w:rsid w:val="001E6F88"/>
    <w:rsid w:val="004C4CD5"/>
    <w:rsid w:val="005F048A"/>
    <w:rsid w:val="007B3FD3"/>
    <w:rsid w:val="007F02E1"/>
    <w:rsid w:val="00C8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E4824"/>
  <w15:chartTrackingRefBased/>
  <w15:docId w15:val="{4CEC1C73-7633-4DB5-B085-90E1A8B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7B3FD3"/>
    <w:pPr>
      <w:tabs>
        <w:tab w:val="left" w:pos="851"/>
      </w:tabs>
      <w:spacing w:after="80" w:line="360" w:lineRule="auto"/>
      <w:ind w:left="360"/>
    </w:pPr>
    <w:rPr>
      <w:rFonts w:ascii="Cambria Math" w:eastAsia="Times New Roman" w:hAnsi="Cambria Math" w:cs="Times New Roman"/>
      <w:noProof/>
      <w:sz w:val="20"/>
      <w:szCs w:val="1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1">
    <w:name w:val="Appendix Heading 1"/>
    <w:basedOn w:val="Normal"/>
    <w:next w:val="Normal"/>
    <w:link w:val="AppendixHeading1Char"/>
    <w:autoRedefine/>
    <w:qFormat/>
    <w:rsid w:val="007B3FD3"/>
    <w:pPr>
      <w:keepNext/>
      <w:pageBreakBefore/>
      <w:tabs>
        <w:tab w:val="clear" w:pos="851"/>
      </w:tabs>
      <w:spacing w:before="120" w:after="240" w:line="480" w:lineRule="auto"/>
      <w:ind w:left="0"/>
      <w:outlineLvl w:val="0"/>
    </w:pPr>
    <w:rPr>
      <w:rFonts w:asciiTheme="majorHAnsi" w:hAnsiTheme="majorHAnsi"/>
      <w:bCs/>
      <w:smallCaps/>
      <w:noProof w:val="0"/>
      <w:kern w:val="32"/>
      <w:sz w:val="36"/>
      <w:szCs w:val="28"/>
      <w:lang w:val="en-US"/>
    </w:rPr>
  </w:style>
  <w:style w:type="character" w:customStyle="1" w:styleId="AppendixHeading1Char">
    <w:name w:val="Appendix Heading 1 Char"/>
    <w:basedOn w:val="DefaultParagraphFont"/>
    <w:link w:val="AppendixHeading1"/>
    <w:rsid w:val="007B3FD3"/>
    <w:rPr>
      <w:rFonts w:asciiTheme="majorHAnsi" w:eastAsia="Times New Roman" w:hAnsiTheme="majorHAnsi" w:cs="Times New Roman"/>
      <w:bCs/>
      <w:smallCaps/>
      <w:kern w:val="32"/>
      <w:sz w:val="36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Viljoen</dc:creator>
  <cp:keywords/>
  <dc:description/>
  <cp:lastModifiedBy>Gerhard Viljoen</cp:lastModifiedBy>
  <cp:revision>1</cp:revision>
  <dcterms:created xsi:type="dcterms:W3CDTF">2019-11-30T13:46:00Z</dcterms:created>
  <dcterms:modified xsi:type="dcterms:W3CDTF">2019-11-30T13:47:00Z</dcterms:modified>
</cp:coreProperties>
</file>