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321" w14:textId="4110DA93" w:rsidR="00212980" w:rsidRPr="00212980" w:rsidRDefault="00212980" w:rsidP="00212980">
      <w:r w:rsidRPr="00212980">
        <w:drawing>
          <wp:inline distT="0" distB="0" distL="0" distR="0" wp14:anchorId="7CD6EBCE" wp14:editId="61DBCC82">
            <wp:extent cx="5943600" cy="2730500"/>
            <wp:effectExtent l="0" t="0" r="0" b="0"/>
            <wp:docPr id="576098182" name="Picture 10"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98182" name="Picture 10" descr="A close-up of a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0AA85EF8" w14:textId="77777777" w:rsidR="00212980" w:rsidRPr="00212980" w:rsidRDefault="00212980" w:rsidP="00212980">
      <w:r w:rsidRPr="00212980">
        <w:t xml:space="preserve">Nordqvist, C. (2010, November 1). </w:t>
      </w:r>
      <w:r w:rsidRPr="00212980">
        <w:rPr>
          <w:i/>
          <w:iCs/>
        </w:rPr>
        <w:t>Alcohol is most harmful drug, followed by heroin and crack</w:t>
      </w:r>
      <w:r w:rsidRPr="00212980">
        <w:t xml:space="preserve">. Medical News Today. https://www.medicalnewstoday.com/articles/206300#1 </w:t>
      </w:r>
    </w:p>
    <w:p w14:paraId="78500BBC" w14:textId="5CFE2713" w:rsidR="00212980" w:rsidRPr="00212980" w:rsidRDefault="00212980" w:rsidP="00212980">
      <w:r w:rsidRPr="00212980">
        <w:lastRenderedPageBreak/>
        <w:drawing>
          <wp:inline distT="0" distB="0" distL="0" distR="0" wp14:anchorId="5C214694" wp14:editId="48419182">
            <wp:extent cx="5943600" cy="5814695"/>
            <wp:effectExtent l="0" t="0" r="0" b="0"/>
            <wp:docPr id="995618008" name="Picture 9" descr="A graph of dru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8008" name="Picture 9" descr="A graph of drug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14695"/>
                    </a:xfrm>
                    <a:prstGeom prst="rect">
                      <a:avLst/>
                    </a:prstGeom>
                    <a:noFill/>
                    <a:ln>
                      <a:noFill/>
                    </a:ln>
                  </pic:spPr>
                </pic:pic>
              </a:graphicData>
            </a:graphic>
          </wp:inline>
        </w:drawing>
      </w:r>
    </w:p>
    <w:p w14:paraId="31DF1B9E" w14:textId="77777777" w:rsidR="00212980" w:rsidRPr="00212980" w:rsidRDefault="00212980" w:rsidP="00212980">
      <w:r w:rsidRPr="00212980">
        <w:t xml:space="preserve">The Economist Newspaper. (2019, June 25). </w:t>
      </w:r>
      <w:r w:rsidRPr="00212980">
        <w:rPr>
          <w:i/>
          <w:iCs/>
        </w:rPr>
        <w:t>What is the most dangerous drug?</w:t>
      </w:r>
      <w:r w:rsidRPr="00212980">
        <w:t xml:space="preserve">. The Economist. https://www.economist.com/graphic-detail/2019/06/25/what-is-the-most-dangerous-drug </w:t>
      </w:r>
    </w:p>
    <w:p w14:paraId="57333AAA" w14:textId="0270A1A1" w:rsidR="00212980" w:rsidRPr="00212980" w:rsidRDefault="00212980" w:rsidP="00212980">
      <w:r w:rsidRPr="00212980">
        <w:lastRenderedPageBreak/>
        <w:drawing>
          <wp:inline distT="0" distB="0" distL="0" distR="0" wp14:anchorId="039D88A4" wp14:editId="167812DA">
            <wp:extent cx="5943600" cy="3127375"/>
            <wp:effectExtent l="0" t="0" r="0" b="0"/>
            <wp:docPr id="205707282" name="Picture 8"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7282" name="Picture 8" descr="A graph of a number of peop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635E636C" w14:textId="77777777" w:rsidR="00212980" w:rsidRPr="00212980" w:rsidRDefault="00212980" w:rsidP="00212980">
      <w:r w:rsidRPr="00212980">
        <w:t xml:space="preserve">Johnson, M. W., Griffiths, R. R., Hendricks, P. S., &amp; Henningfield, J. E. (2018). The abuse potential of medical psilocybin according to the 8 factors of the Controlled Substances Act. </w:t>
      </w:r>
      <w:r w:rsidRPr="00212980">
        <w:rPr>
          <w:i/>
          <w:iCs/>
        </w:rPr>
        <w:t>Neuropharmacology</w:t>
      </w:r>
      <w:r w:rsidRPr="00212980">
        <w:t xml:space="preserve">, </w:t>
      </w:r>
      <w:r w:rsidRPr="00212980">
        <w:rPr>
          <w:i/>
          <w:iCs/>
        </w:rPr>
        <w:t>142</w:t>
      </w:r>
      <w:r w:rsidRPr="00212980">
        <w:t xml:space="preserve">, 143–166. https://doi.org/10.1016/j.neuropharm.2018.05.012 </w:t>
      </w:r>
    </w:p>
    <w:p w14:paraId="37191401" w14:textId="52EAB16D" w:rsidR="00212980" w:rsidRPr="00212980" w:rsidRDefault="00212980" w:rsidP="00212980">
      <w:r w:rsidRPr="00212980">
        <w:lastRenderedPageBreak/>
        <w:drawing>
          <wp:inline distT="0" distB="0" distL="0" distR="0" wp14:anchorId="4D8FAC22" wp14:editId="1777FAE2">
            <wp:extent cx="4777740" cy="5890260"/>
            <wp:effectExtent l="0" t="0" r="3810" b="0"/>
            <wp:docPr id="2087104400" name="Picture 7"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4400" name="Picture 7" descr="A screenshot of a docume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890260"/>
                    </a:xfrm>
                    <a:prstGeom prst="rect">
                      <a:avLst/>
                    </a:prstGeom>
                    <a:noFill/>
                    <a:ln>
                      <a:noFill/>
                    </a:ln>
                  </pic:spPr>
                </pic:pic>
              </a:graphicData>
            </a:graphic>
          </wp:inline>
        </w:drawing>
      </w:r>
    </w:p>
    <w:p w14:paraId="5821482C" w14:textId="77777777" w:rsidR="00212980" w:rsidRPr="00212980" w:rsidRDefault="00212980" w:rsidP="00212980">
      <w:r w:rsidRPr="00212980">
        <w:rPr>
          <w:i/>
          <w:iCs/>
        </w:rPr>
        <w:t>Alcohol most harmful drug based on multicriteria analysis: Imperial News: Imperial College London</w:t>
      </w:r>
      <w:r w:rsidRPr="00212980">
        <w:t xml:space="preserve">. Imperial News. (2010, November 1). https://www.imperial.ac.uk/news/94042/alcohol-most-harmful-drug-based-multicriteria/ </w:t>
      </w:r>
    </w:p>
    <w:p w14:paraId="0FDAA9B6" w14:textId="4725CED0" w:rsidR="00212980" w:rsidRPr="00212980" w:rsidRDefault="00212980" w:rsidP="00212980">
      <w:r w:rsidRPr="00212980">
        <w:lastRenderedPageBreak/>
        <w:drawing>
          <wp:inline distT="0" distB="0" distL="0" distR="0" wp14:anchorId="1BCB62CE" wp14:editId="70E060BA">
            <wp:extent cx="5943600" cy="5928995"/>
            <wp:effectExtent l="0" t="0" r="0" b="0"/>
            <wp:docPr id="1933110962" name="Picture 6" descr="A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0962" name="Picture 6" descr="A chart with different colored circ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28995"/>
                    </a:xfrm>
                    <a:prstGeom prst="rect">
                      <a:avLst/>
                    </a:prstGeom>
                    <a:noFill/>
                    <a:ln>
                      <a:noFill/>
                    </a:ln>
                  </pic:spPr>
                </pic:pic>
              </a:graphicData>
            </a:graphic>
          </wp:inline>
        </w:drawing>
      </w:r>
    </w:p>
    <w:p w14:paraId="52AD69E8" w14:textId="77777777" w:rsidR="00212980" w:rsidRPr="00212980" w:rsidRDefault="00212980" w:rsidP="00212980">
      <w:r w:rsidRPr="00212980">
        <w:t xml:space="preserve">Data source is the March 24, 2007. Nutt, D., King, L. A., Saulsbury, W., &amp; Blakemore, C. (2007). Development of a rational scale to assess the harm of drugs of potential misuse. </w:t>
      </w:r>
      <w:r w:rsidRPr="00212980">
        <w:rPr>
          <w:i/>
          <w:iCs/>
        </w:rPr>
        <w:t>The Lancet</w:t>
      </w:r>
      <w:r w:rsidRPr="00212980">
        <w:t xml:space="preserve">, </w:t>
      </w:r>
      <w:r w:rsidRPr="00212980">
        <w:rPr>
          <w:i/>
          <w:iCs/>
        </w:rPr>
        <w:t>369</w:t>
      </w:r>
      <w:r w:rsidRPr="00212980">
        <w:t xml:space="preserve">(9566). https://doi.org/10.1016/s0140-6736(07)60464-4 </w:t>
      </w:r>
    </w:p>
    <w:p w14:paraId="61C4CB5C" w14:textId="77777777" w:rsidR="00212980" w:rsidRPr="00212980" w:rsidRDefault="00212980" w:rsidP="00212980">
      <w:pPr>
        <w:rPr>
          <w:b/>
          <w:bCs/>
        </w:rPr>
      </w:pPr>
      <w:r w:rsidRPr="00212980">
        <w:rPr>
          <w:b/>
          <w:bCs/>
          <w:i/>
          <w:iCs/>
        </w:rPr>
        <w:t>Neurochemical and Psychophysiological Mechanisms Proposed as a Basis for Ayahuasca’s Effects on Addiction</w:t>
      </w:r>
    </w:p>
    <w:p w14:paraId="55BA7FB5" w14:textId="77777777" w:rsidR="00212980" w:rsidRPr="00212980" w:rsidRDefault="00212980" w:rsidP="00212980">
      <w:r w:rsidRPr="00212980">
        <w:rPr>
          <w:b/>
          <w:bCs/>
          <w:i/>
          <w:iCs/>
        </w:rPr>
        <w:t>There are a variety of biochemical and physiological mechanisms through which ayahuasca can effectively address addictions (</w:t>
      </w:r>
      <w:hyperlink r:id="rId9" w:anchor="B103" w:history="1">
        <w:r w:rsidRPr="00212980">
          <w:rPr>
            <w:rStyle w:val="Hyperlink"/>
            <w:b/>
            <w:bCs/>
            <w:i/>
            <w:iCs/>
          </w:rPr>
          <w:t>Prickett and Liester, 2014</w:t>
        </w:r>
      </w:hyperlink>
      <w:r w:rsidRPr="00212980">
        <w:rPr>
          <w:b/>
          <w:bCs/>
          <w:i/>
          <w:iCs/>
        </w:rPr>
        <w:t xml:space="preserve">). The inclusion of two plant species in ayahuasca provides a variety of mechanisms for direct and indirect actions on both dopaminergic and serotonergic systems. Since the </w:t>
      </w:r>
      <w:r w:rsidRPr="00212980">
        <w:rPr>
          <w:b/>
          <w:bCs/>
          <w:i/>
          <w:iCs/>
        </w:rPr>
        <w:lastRenderedPageBreak/>
        <w:t>effects of DMT appear to reflect the general effects of tryptamines (e.g., DMT, LSD, bufotenin, psilocin, and psilocybin) some of therapeutic mechanisms would also be shared with these related substances. The effects of the harmine alkaloids, however, would be unique to ayahuasca. Separate studies with each of these chemical classes will be necessary to distinguish their different contributions.</w:t>
      </w:r>
    </w:p>
    <w:p w14:paraId="6EC2232F" w14:textId="77777777" w:rsidR="00212980" w:rsidRPr="00212980" w:rsidRDefault="00212980" w:rsidP="00212980">
      <w:hyperlink r:id="rId10" w:anchor="B71" w:history="1">
        <w:r w:rsidRPr="00212980">
          <w:rPr>
            <w:rStyle w:val="Hyperlink"/>
            <w:b/>
            <w:bCs/>
            <w:i/>
            <w:iCs/>
          </w:rPr>
          <w:t>Liester and Prickett (2012)</w:t>
        </w:r>
      </w:hyperlink>
      <w:r w:rsidRPr="00212980">
        <w:rPr>
          <w:b/>
          <w:bCs/>
          <w:i/>
          <w:iCs/>
        </w:rPr>
        <w:t xml:space="preserve"> proposed that “ayahuasca exerts anti-addictive properties via its direct and indirect actions on dopaminergic and serotonergic neurons in the mesolimbic pathway. Ayahuasca raises global 5-HT levels attenuating withdrawal effects and mitigating against potential dopaminergic excess when utilizing dopamine (DA) agonists. Ayahuasca balances DA in the MDP between the low levels associated with withdrawal and the elevated levels associated with initiation and reinforcement of addictive behavior” (</w:t>
      </w:r>
      <w:hyperlink r:id="rId11" w:anchor="B103" w:history="1">
        <w:r w:rsidRPr="00212980">
          <w:rPr>
            <w:rStyle w:val="Hyperlink"/>
            <w:b/>
            <w:bCs/>
            <w:i/>
            <w:iCs/>
          </w:rPr>
          <w:t>Prickett and Liester, 2014</w:t>
        </w:r>
      </w:hyperlink>
      <w:r w:rsidRPr="00212980">
        <w:rPr>
          <w:b/>
          <w:bCs/>
          <w:i/>
          <w:iCs/>
        </w:rPr>
        <w:t>). Therefore, the resolution of addiction through ayahuasca’s therapeutic potentials may act on four levels: (1) reducing brain DA level in the MDP through effects on the 5-HT receptors, which in turn (2) interferes with the synaptic plasticity. This neurochemical mechanism is supported by (3) psychological insights and processing of repressed traumas, enhancing decision making capabilities, which allowing the person to (4) examine first person transcendental experiences.</w:t>
      </w:r>
    </w:p>
    <w:p w14:paraId="28CCB983" w14:textId="77777777" w:rsidR="00212980" w:rsidRPr="00212980" w:rsidRDefault="00212980" w:rsidP="00212980">
      <w:r w:rsidRPr="00212980">
        <w:rPr>
          <w:b/>
          <w:bCs/>
          <w:i/>
          <w:iCs/>
        </w:rPr>
        <w:t>Additional neurophysiologic mechanisms for ayahuasca’s therapeutic effects involve neuroplasticity, the ability of neurons to alter their synaptic connections. Constituents of ayahuasca may affect brain derived neurotropic factor release through effects on the GABAergic and glutamatergic systems. These are involved in producing neuroplastic changes through triggering changes in gene expression which affect the architecture and communication between neurons. These exert effects on the existing neural circuits which mediate maladaptive addictive habits in stimulating the production of new circuits supporting new behaviors, with ayahuasca facilitating a neurological rewiring of the brain’s reward pathways. This model is supported by animal experiments (</w:t>
      </w:r>
      <w:hyperlink r:id="rId12" w:anchor="B96" w:history="1">
        <w:r w:rsidRPr="00212980">
          <w:rPr>
            <w:rStyle w:val="Hyperlink"/>
            <w:b/>
            <w:bCs/>
            <w:i/>
            <w:iCs/>
          </w:rPr>
          <w:t>Oliveira-Lima et al., 2015</w:t>
        </w:r>
      </w:hyperlink>
      <w:r w:rsidRPr="00212980">
        <w:rPr>
          <w:b/>
          <w:bCs/>
          <w:i/>
          <w:iCs/>
        </w:rPr>
        <w:t>) which demonstrated that ayahuasca not only inhibits early behaviors associated with the initiation and development of alcohol addiction, but also has long-term effects in preventing the reinstatement of ethanol-induced behavioral sensitization.”</w:t>
      </w:r>
    </w:p>
    <w:p w14:paraId="50F59EBF" w14:textId="77777777" w:rsidR="00212980" w:rsidRPr="00212980" w:rsidRDefault="00212980" w:rsidP="00212980">
      <w:r w:rsidRPr="00212980">
        <w:t xml:space="preserve">Frecska, E., Bokor, P., &amp; Winkelman, M. (2016). The therapeutic potentials of ayahuasca: Possible effects against various diseases of civilization. </w:t>
      </w:r>
      <w:r w:rsidRPr="00212980">
        <w:rPr>
          <w:i/>
          <w:iCs/>
        </w:rPr>
        <w:t>Frontiers in Pharmacology</w:t>
      </w:r>
      <w:r w:rsidRPr="00212980">
        <w:t xml:space="preserve">, </w:t>
      </w:r>
      <w:r w:rsidRPr="00212980">
        <w:rPr>
          <w:i/>
          <w:iCs/>
        </w:rPr>
        <w:t>7</w:t>
      </w:r>
      <w:r w:rsidRPr="00212980">
        <w:t xml:space="preserve">. https://doi.org/10.3389/fphar.2016.00035 </w:t>
      </w:r>
    </w:p>
    <w:p w14:paraId="69BD00FC" w14:textId="77777777" w:rsidR="00212980" w:rsidRDefault="00212980"/>
    <w:sectPr w:rsidR="00212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80"/>
    <w:rsid w:val="00212980"/>
    <w:rsid w:val="00B3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7A17"/>
  <w15:chartTrackingRefBased/>
  <w15:docId w15:val="{1F39B64B-CBB7-41F7-984A-B0D114A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980"/>
    <w:rPr>
      <w:rFonts w:eastAsiaTheme="majorEastAsia" w:cstheme="majorBidi"/>
      <w:color w:val="272727" w:themeColor="text1" w:themeTint="D8"/>
    </w:rPr>
  </w:style>
  <w:style w:type="paragraph" w:styleId="Title">
    <w:name w:val="Title"/>
    <w:basedOn w:val="Normal"/>
    <w:next w:val="Normal"/>
    <w:link w:val="TitleChar"/>
    <w:uiPriority w:val="10"/>
    <w:qFormat/>
    <w:rsid w:val="00212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980"/>
    <w:pPr>
      <w:spacing w:before="160"/>
      <w:jc w:val="center"/>
    </w:pPr>
    <w:rPr>
      <w:i/>
      <w:iCs/>
      <w:color w:val="404040" w:themeColor="text1" w:themeTint="BF"/>
    </w:rPr>
  </w:style>
  <w:style w:type="character" w:customStyle="1" w:styleId="QuoteChar">
    <w:name w:val="Quote Char"/>
    <w:basedOn w:val="DefaultParagraphFont"/>
    <w:link w:val="Quote"/>
    <w:uiPriority w:val="29"/>
    <w:rsid w:val="00212980"/>
    <w:rPr>
      <w:i/>
      <w:iCs/>
      <w:color w:val="404040" w:themeColor="text1" w:themeTint="BF"/>
    </w:rPr>
  </w:style>
  <w:style w:type="paragraph" w:styleId="ListParagraph">
    <w:name w:val="List Paragraph"/>
    <w:basedOn w:val="Normal"/>
    <w:uiPriority w:val="34"/>
    <w:qFormat/>
    <w:rsid w:val="00212980"/>
    <w:pPr>
      <w:ind w:left="720"/>
      <w:contextualSpacing/>
    </w:pPr>
  </w:style>
  <w:style w:type="character" w:styleId="IntenseEmphasis">
    <w:name w:val="Intense Emphasis"/>
    <w:basedOn w:val="DefaultParagraphFont"/>
    <w:uiPriority w:val="21"/>
    <w:qFormat/>
    <w:rsid w:val="00212980"/>
    <w:rPr>
      <w:i/>
      <w:iCs/>
      <w:color w:val="0F4761" w:themeColor="accent1" w:themeShade="BF"/>
    </w:rPr>
  </w:style>
  <w:style w:type="paragraph" w:styleId="IntenseQuote">
    <w:name w:val="Intense Quote"/>
    <w:basedOn w:val="Normal"/>
    <w:next w:val="Normal"/>
    <w:link w:val="IntenseQuoteChar"/>
    <w:uiPriority w:val="30"/>
    <w:qFormat/>
    <w:rsid w:val="00212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980"/>
    <w:rPr>
      <w:i/>
      <w:iCs/>
      <w:color w:val="0F4761" w:themeColor="accent1" w:themeShade="BF"/>
    </w:rPr>
  </w:style>
  <w:style w:type="character" w:styleId="IntenseReference">
    <w:name w:val="Intense Reference"/>
    <w:basedOn w:val="DefaultParagraphFont"/>
    <w:uiPriority w:val="32"/>
    <w:qFormat/>
    <w:rsid w:val="00212980"/>
    <w:rPr>
      <w:b/>
      <w:bCs/>
      <w:smallCaps/>
      <w:color w:val="0F4761" w:themeColor="accent1" w:themeShade="BF"/>
      <w:spacing w:val="5"/>
    </w:rPr>
  </w:style>
  <w:style w:type="character" w:styleId="Hyperlink">
    <w:name w:val="Hyperlink"/>
    <w:basedOn w:val="DefaultParagraphFont"/>
    <w:uiPriority w:val="99"/>
    <w:unhideWhenUsed/>
    <w:rsid w:val="00212980"/>
    <w:rPr>
      <w:color w:val="467886" w:themeColor="hyperlink"/>
      <w:u w:val="single"/>
    </w:rPr>
  </w:style>
  <w:style w:type="character" w:styleId="UnresolvedMention">
    <w:name w:val="Unresolved Mention"/>
    <w:basedOn w:val="DefaultParagraphFont"/>
    <w:uiPriority w:val="99"/>
    <w:semiHidden/>
    <w:unhideWhenUsed/>
    <w:rsid w:val="00212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576171">
      <w:bodyDiv w:val="1"/>
      <w:marLeft w:val="0"/>
      <w:marRight w:val="0"/>
      <w:marTop w:val="0"/>
      <w:marBottom w:val="0"/>
      <w:divBdr>
        <w:top w:val="none" w:sz="0" w:space="0" w:color="auto"/>
        <w:left w:val="none" w:sz="0" w:space="0" w:color="auto"/>
        <w:bottom w:val="none" w:sz="0" w:space="0" w:color="auto"/>
        <w:right w:val="none" w:sz="0" w:space="0" w:color="auto"/>
      </w:divBdr>
      <w:divsChild>
        <w:div w:id="658114463">
          <w:marLeft w:val="0"/>
          <w:marRight w:val="0"/>
          <w:marTop w:val="0"/>
          <w:marBottom w:val="0"/>
          <w:divBdr>
            <w:top w:val="none" w:sz="0" w:space="0" w:color="auto"/>
            <w:left w:val="none" w:sz="0" w:space="0" w:color="auto"/>
            <w:bottom w:val="none" w:sz="0" w:space="0" w:color="auto"/>
            <w:right w:val="none" w:sz="0" w:space="0" w:color="auto"/>
          </w:divBdr>
          <w:divsChild>
            <w:div w:id="1312444856">
              <w:marLeft w:val="0"/>
              <w:marRight w:val="0"/>
              <w:marTop w:val="0"/>
              <w:marBottom w:val="0"/>
              <w:divBdr>
                <w:top w:val="none" w:sz="0" w:space="0" w:color="auto"/>
                <w:left w:val="none" w:sz="0" w:space="0" w:color="auto"/>
                <w:bottom w:val="none" w:sz="0" w:space="0" w:color="auto"/>
                <w:right w:val="none" w:sz="0" w:space="0" w:color="auto"/>
              </w:divBdr>
              <w:divsChild>
                <w:div w:id="1795445417">
                  <w:marLeft w:val="0"/>
                  <w:marRight w:val="0"/>
                  <w:marTop w:val="0"/>
                  <w:marBottom w:val="0"/>
                  <w:divBdr>
                    <w:top w:val="none" w:sz="0" w:space="0" w:color="auto"/>
                    <w:left w:val="none" w:sz="0" w:space="0" w:color="auto"/>
                    <w:bottom w:val="none" w:sz="0" w:space="0" w:color="auto"/>
                    <w:right w:val="none" w:sz="0" w:space="0" w:color="auto"/>
                  </w:divBdr>
                  <w:divsChild>
                    <w:div w:id="120274950">
                      <w:marLeft w:val="0"/>
                      <w:marRight w:val="0"/>
                      <w:marTop w:val="0"/>
                      <w:marBottom w:val="0"/>
                      <w:divBdr>
                        <w:top w:val="none" w:sz="0" w:space="0" w:color="auto"/>
                        <w:left w:val="none" w:sz="0" w:space="0" w:color="auto"/>
                        <w:bottom w:val="none" w:sz="0" w:space="0" w:color="auto"/>
                        <w:right w:val="none" w:sz="0" w:space="0" w:color="auto"/>
                      </w:divBdr>
                      <w:divsChild>
                        <w:div w:id="203715872">
                          <w:marLeft w:val="0"/>
                          <w:marRight w:val="0"/>
                          <w:marTop w:val="0"/>
                          <w:marBottom w:val="0"/>
                          <w:divBdr>
                            <w:top w:val="none" w:sz="0" w:space="0" w:color="auto"/>
                            <w:left w:val="none" w:sz="0" w:space="0" w:color="auto"/>
                            <w:bottom w:val="none" w:sz="0" w:space="0" w:color="auto"/>
                            <w:right w:val="none" w:sz="0" w:space="0" w:color="auto"/>
                          </w:divBdr>
                        </w:div>
                      </w:divsChild>
                    </w:div>
                    <w:div w:id="1061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79675">
          <w:marLeft w:val="0"/>
          <w:marRight w:val="0"/>
          <w:marTop w:val="0"/>
          <w:marBottom w:val="0"/>
          <w:divBdr>
            <w:top w:val="none" w:sz="0" w:space="0" w:color="auto"/>
            <w:left w:val="none" w:sz="0" w:space="0" w:color="auto"/>
            <w:bottom w:val="none" w:sz="0" w:space="0" w:color="auto"/>
            <w:right w:val="none" w:sz="0" w:space="0" w:color="auto"/>
          </w:divBdr>
          <w:divsChild>
            <w:div w:id="657415497">
              <w:marLeft w:val="0"/>
              <w:marRight w:val="0"/>
              <w:marTop w:val="0"/>
              <w:marBottom w:val="0"/>
              <w:divBdr>
                <w:top w:val="none" w:sz="0" w:space="0" w:color="auto"/>
                <w:left w:val="none" w:sz="0" w:space="0" w:color="auto"/>
                <w:bottom w:val="none" w:sz="0" w:space="0" w:color="auto"/>
                <w:right w:val="none" w:sz="0" w:space="0" w:color="auto"/>
              </w:divBdr>
              <w:divsChild>
                <w:div w:id="37046164">
                  <w:marLeft w:val="0"/>
                  <w:marRight w:val="0"/>
                  <w:marTop w:val="0"/>
                  <w:marBottom w:val="0"/>
                  <w:divBdr>
                    <w:top w:val="none" w:sz="0" w:space="0" w:color="auto"/>
                    <w:left w:val="none" w:sz="0" w:space="0" w:color="auto"/>
                    <w:bottom w:val="none" w:sz="0" w:space="0" w:color="auto"/>
                    <w:right w:val="none" w:sz="0" w:space="0" w:color="auto"/>
                  </w:divBdr>
                  <w:divsChild>
                    <w:div w:id="1750270464">
                      <w:marLeft w:val="0"/>
                      <w:marRight w:val="0"/>
                      <w:marTop w:val="0"/>
                      <w:marBottom w:val="0"/>
                      <w:divBdr>
                        <w:top w:val="none" w:sz="0" w:space="0" w:color="auto"/>
                        <w:left w:val="none" w:sz="0" w:space="0" w:color="auto"/>
                        <w:bottom w:val="none" w:sz="0" w:space="0" w:color="auto"/>
                        <w:right w:val="none" w:sz="0" w:space="0" w:color="auto"/>
                      </w:divBdr>
                      <w:divsChild>
                        <w:div w:id="1820532304">
                          <w:marLeft w:val="0"/>
                          <w:marRight w:val="0"/>
                          <w:marTop w:val="0"/>
                          <w:marBottom w:val="0"/>
                          <w:divBdr>
                            <w:top w:val="none" w:sz="0" w:space="0" w:color="auto"/>
                            <w:left w:val="none" w:sz="0" w:space="0" w:color="auto"/>
                            <w:bottom w:val="none" w:sz="0" w:space="0" w:color="auto"/>
                            <w:right w:val="none" w:sz="0" w:space="0" w:color="auto"/>
                          </w:divBdr>
                        </w:div>
                      </w:divsChild>
                    </w:div>
                    <w:div w:id="853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805">
          <w:marLeft w:val="0"/>
          <w:marRight w:val="0"/>
          <w:marTop w:val="0"/>
          <w:marBottom w:val="0"/>
          <w:divBdr>
            <w:top w:val="none" w:sz="0" w:space="0" w:color="auto"/>
            <w:left w:val="none" w:sz="0" w:space="0" w:color="auto"/>
            <w:bottom w:val="none" w:sz="0" w:space="0" w:color="auto"/>
            <w:right w:val="none" w:sz="0" w:space="0" w:color="auto"/>
          </w:divBdr>
          <w:divsChild>
            <w:div w:id="228812551">
              <w:marLeft w:val="0"/>
              <w:marRight w:val="0"/>
              <w:marTop w:val="0"/>
              <w:marBottom w:val="0"/>
              <w:divBdr>
                <w:top w:val="none" w:sz="0" w:space="0" w:color="auto"/>
                <w:left w:val="none" w:sz="0" w:space="0" w:color="auto"/>
                <w:bottom w:val="none" w:sz="0" w:space="0" w:color="auto"/>
                <w:right w:val="none" w:sz="0" w:space="0" w:color="auto"/>
              </w:divBdr>
              <w:divsChild>
                <w:div w:id="1822429002">
                  <w:marLeft w:val="0"/>
                  <w:marRight w:val="0"/>
                  <w:marTop w:val="0"/>
                  <w:marBottom w:val="0"/>
                  <w:divBdr>
                    <w:top w:val="none" w:sz="0" w:space="0" w:color="auto"/>
                    <w:left w:val="none" w:sz="0" w:space="0" w:color="auto"/>
                    <w:bottom w:val="none" w:sz="0" w:space="0" w:color="auto"/>
                    <w:right w:val="none" w:sz="0" w:space="0" w:color="auto"/>
                  </w:divBdr>
                  <w:divsChild>
                    <w:div w:id="1573585872">
                      <w:marLeft w:val="0"/>
                      <w:marRight w:val="0"/>
                      <w:marTop w:val="0"/>
                      <w:marBottom w:val="0"/>
                      <w:divBdr>
                        <w:top w:val="none" w:sz="0" w:space="0" w:color="auto"/>
                        <w:left w:val="none" w:sz="0" w:space="0" w:color="auto"/>
                        <w:bottom w:val="none" w:sz="0" w:space="0" w:color="auto"/>
                        <w:right w:val="none" w:sz="0" w:space="0" w:color="auto"/>
                      </w:divBdr>
                      <w:divsChild>
                        <w:div w:id="553932645">
                          <w:marLeft w:val="0"/>
                          <w:marRight w:val="0"/>
                          <w:marTop w:val="0"/>
                          <w:marBottom w:val="0"/>
                          <w:divBdr>
                            <w:top w:val="none" w:sz="0" w:space="0" w:color="auto"/>
                            <w:left w:val="none" w:sz="0" w:space="0" w:color="auto"/>
                            <w:bottom w:val="none" w:sz="0" w:space="0" w:color="auto"/>
                            <w:right w:val="none" w:sz="0" w:space="0" w:color="auto"/>
                          </w:divBdr>
                        </w:div>
                      </w:divsChild>
                    </w:div>
                    <w:div w:id="14486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913">
          <w:marLeft w:val="0"/>
          <w:marRight w:val="0"/>
          <w:marTop w:val="0"/>
          <w:marBottom w:val="0"/>
          <w:divBdr>
            <w:top w:val="none" w:sz="0" w:space="0" w:color="auto"/>
            <w:left w:val="none" w:sz="0" w:space="0" w:color="auto"/>
            <w:bottom w:val="none" w:sz="0" w:space="0" w:color="auto"/>
            <w:right w:val="none" w:sz="0" w:space="0" w:color="auto"/>
          </w:divBdr>
          <w:divsChild>
            <w:div w:id="177085985">
              <w:marLeft w:val="0"/>
              <w:marRight w:val="0"/>
              <w:marTop w:val="0"/>
              <w:marBottom w:val="0"/>
              <w:divBdr>
                <w:top w:val="none" w:sz="0" w:space="0" w:color="auto"/>
                <w:left w:val="none" w:sz="0" w:space="0" w:color="auto"/>
                <w:bottom w:val="none" w:sz="0" w:space="0" w:color="auto"/>
                <w:right w:val="none" w:sz="0" w:space="0" w:color="auto"/>
              </w:divBdr>
              <w:divsChild>
                <w:div w:id="1214611285">
                  <w:marLeft w:val="0"/>
                  <w:marRight w:val="0"/>
                  <w:marTop w:val="0"/>
                  <w:marBottom w:val="0"/>
                  <w:divBdr>
                    <w:top w:val="none" w:sz="0" w:space="0" w:color="auto"/>
                    <w:left w:val="none" w:sz="0" w:space="0" w:color="auto"/>
                    <w:bottom w:val="none" w:sz="0" w:space="0" w:color="auto"/>
                    <w:right w:val="none" w:sz="0" w:space="0" w:color="auto"/>
                  </w:divBdr>
                  <w:divsChild>
                    <w:div w:id="728117007">
                      <w:marLeft w:val="0"/>
                      <w:marRight w:val="0"/>
                      <w:marTop w:val="0"/>
                      <w:marBottom w:val="0"/>
                      <w:divBdr>
                        <w:top w:val="none" w:sz="0" w:space="0" w:color="auto"/>
                        <w:left w:val="none" w:sz="0" w:space="0" w:color="auto"/>
                        <w:bottom w:val="none" w:sz="0" w:space="0" w:color="auto"/>
                        <w:right w:val="none" w:sz="0" w:space="0" w:color="auto"/>
                      </w:divBdr>
                      <w:divsChild>
                        <w:div w:id="596406895">
                          <w:marLeft w:val="0"/>
                          <w:marRight w:val="0"/>
                          <w:marTop w:val="0"/>
                          <w:marBottom w:val="0"/>
                          <w:divBdr>
                            <w:top w:val="none" w:sz="0" w:space="0" w:color="auto"/>
                            <w:left w:val="none" w:sz="0" w:space="0" w:color="auto"/>
                            <w:bottom w:val="none" w:sz="0" w:space="0" w:color="auto"/>
                            <w:right w:val="none" w:sz="0" w:space="0" w:color="auto"/>
                          </w:divBdr>
                        </w:div>
                      </w:divsChild>
                    </w:div>
                    <w:div w:id="15863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274">
          <w:marLeft w:val="0"/>
          <w:marRight w:val="0"/>
          <w:marTop w:val="0"/>
          <w:marBottom w:val="0"/>
          <w:divBdr>
            <w:top w:val="none" w:sz="0" w:space="0" w:color="auto"/>
            <w:left w:val="none" w:sz="0" w:space="0" w:color="auto"/>
            <w:bottom w:val="none" w:sz="0" w:space="0" w:color="auto"/>
            <w:right w:val="none" w:sz="0" w:space="0" w:color="auto"/>
          </w:divBdr>
          <w:divsChild>
            <w:div w:id="1121651241">
              <w:marLeft w:val="0"/>
              <w:marRight w:val="0"/>
              <w:marTop w:val="0"/>
              <w:marBottom w:val="0"/>
              <w:divBdr>
                <w:top w:val="none" w:sz="0" w:space="0" w:color="auto"/>
                <w:left w:val="none" w:sz="0" w:space="0" w:color="auto"/>
                <w:bottom w:val="none" w:sz="0" w:space="0" w:color="auto"/>
                <w:right w:val="none" w:sz="0" w:space="0" w:color="auto"/>
              </w:divBdr>
              <w:divsChild>
                <w:div w:id="2126078534">
                  <w:marLeft w:val="0"/>
                  <w:marRight w:val="0"/>
                  <w:marTop w:val="0"/>
                  <w:marBottom w:val="0"/>
                  <w:divBdr>
                    <w:top w:val="none" w:sz="0" w:space="0" w:color="auto"/>
                    <w:left w:val="none" w:sz="0" w:space="0" w:color="auto"/>
                    <w:bottom w:val="none" w:sz="0" w:space="0" w:color="auto"/>
                    <w:right w:val="none" w:sz="0" w:space="0" w:color="auto"/>
                  </w:divBdr>
                  <w:divsChild>
                    <w:div w:id="997197001">
                      <w:marLeft w:val="0"/>
                      <w:marRight w:val="0"/>
                      <w:marTop w:val="0"/>
                      <w:marBottom w:val="0"/>
                      <w:divBdr>
                        <w:top w:val="none" w:sz="0" w:space="0" w:color="auto"/>
                        <w:left w:val="none" w:sz="0" w:space="0" w:color="auto"/>
                        <w:bottom w:val="none" w:sz="0" w:space="0" w:color="auto"/>
                        <w:right w:val="none" w:sz="0" w:space="0" w:color="auto"/>
                      </w:divBdr>
                      <w:divsChild>
                        <w:div w:id="1782993921">
                          <w:marLeft w:val="0"/>
                          <w:marRight w:val="0"/>
                          <w:marTop w:val="0"/>
                          <w:marBottom w:val="0"/>
                          <w:divBdr>
                            <w:top w:val="none" w:sz="0" w:space="0" w:color="auto"/>
                            <w:left w:val="none" w:sz="0" w:space="0" w:color="auto"/>
                            <w:bottom w:val="none" w:sz="0" w:space="0" w:color="auto"/>
                            <w:right w:val="none" w:sz="0" w:space="0" w:color="auto"/>
                          </w:divBdr>
                        </w:div>
                      </w:divsChild>
                    </w:div>
                    <w:div w:id="4049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1391">
          <w:marLeft w:val="0"/>
          <w:marRight w:val="0"/>
          <w:marTop w:val="0"/>
          <w:marBottom w:val="0"/>
          <w:divBdr>
            <w:top w:val="none" w:sz="0" w:space="0" w:color="auto"/>
            <w:left w:val="none" w:sz="0" w:space="0" w:color="auto"/>
            <w:bottom w:val="none" w:sz="0" w:space="0" w:color="auto"/>
            <w:right w:val="none" w:sz="0" w:space="0" w:color="auto"/>
          </w:divBdr>
          <w:divsChild>
            <w:div w:id="133063306">
              <w:marLeft w:val="0"/>
              <w:marRight w:val="0"/>
              <w:marTop w:val="0"/>
              <w:marBottom w:val="0"/>
              <w:divBdr>
                <w:top w:val="none" w:sz="0" w:space="0" w:color="auto"/>
                <w:left w:val="none" w:sz="0" w:space="0" w:color="auto"/>
                <w:bottom w:val="none" w:sz="0" w:space="0" w:color="auto"/>
                <w:right w:val="none" w:sz="0" w:space="0" w:color="auto"/>
              </w:divBdr>
              <w:divsChild>
                <w:div w:id="14756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082">
      <w:bodyDiv w:val="1"/>
      <w:marLeft w:val="0"/>
      <w:marRight w:val="0"/>
      <w:marTop w:val="0"/>
      <w:marBottom w:val="0"/>
      <w:divBdr>
        <w:top w:val="none" w:sz="0" w:space="0" w:color="auto"/>
        <w:left w:val="none" w:sz="0" w:space="0" w:color="auto"/>
        <w:bottom w:val="none" w:sz="0" w:space="0" w:color="auto"/>
        <w:right w:val="none" w:sz="0" w:space="0" w:color="auto"/>
      </w:divBdr>
      <w:divsChild>
        <w:div w:id="2095736798">
          <w:marLeft w:val="0"/>
          <w:marRight w:val="0"/>
          <w:marTop w:val="0"/>
          <w:marBottom w:val="0"/>
          <w:divBdr>
            <w:top w:val="none" w:sz="0" w:space="0" w:color="auto"/>
            <w:left w:val="none" w:sz="0" w:space="0" w:color="auto"/>
            <w:bottom w:val="none" w:sz="0" w:space="0" w:color="auto"/>
            <w:right w:val="none" w:sz="0" w:space="0" w:color="auto"/>
          </w:divBdr>
          <w:divsChild>
            <w:div w:id="1976831520">
              <w:marLeft w:val="0"/>
              <w:marRight w:val="0"/>
              <w:marTop w:val="0"/>
              <w:marBottom w:val="0"/>
              <w:divBdr>
                <w:top w:val="none" w:sz="0" w:space="0" w:color="auto"/>
                <w:left w:val="none" w:sz="0" w:space="0" w:color="auto"/>
                <w:bottom w:val="none" w:sz="0" w:space="0" w:color="auto"/>
                <w:right w:val="none" w:sz="0" w:space="0" w:color="auto"/>
              </w:divBdr>
              <w:divsChild>
                <w:div w:id="14505913">
                  <w:marLeft w:val="0"/>
                  <w:marRight w:val="0"/>
                  <w:marTop w:val="0"/>
                  <w:marBottom w:val="0"/>
                  <w:divBdr>
                    <w:top w:val="none" w:sz="0" w:space="0" w:color="auto"/>
                    <w:left w:val="none" w:sz="0" w:space="0" w:color="auto"/>
                    <w:bottom w:val="none" w:sz="0" w:space="0" w:color="auto"/>
                    <w:right w:val="none" w:sz="0" w:space="0" w:color="auto"/>
                  </w:divBdr>
                  <w:divsChild>
                    <w:div w:id="787818647">
                      <w:marLeft w:val="0"/>
                      <w:marRight w:val="0"/>
                      <w:marTop w:val="0"/>
                      <w:marBottom w:val="0"/>
                      <w:divBdr>
                        <w:top w:val="none" w:sz="0" w:space="0" w:color="auto"/>
                        <w:left w:val="none" w:sz="0" w:space="0" w:color="auto"/>
                        <w:bottom w:val="none" w:sz="0" w:space="0" w:color="auto"/>
                        <w:right w:val="none" w:sz="0" w:space="0" w:color="auto"/>
                      </w:divBdr>
                      <w:divsChild>
                        <w:div w:id="1080836459">
                          <w:marLeft w:val="0"/>
                          <w:marRight w:val="0"/>
                          <w:marTop w:val="0"/>
                          <w:marBottom w:val="0"/>
                          <w:divBdr>
                            <w:top w:val="none" w:sz="0" w:space="0" w:color="auto"/>
                            <w:left w:val="none" w:sz="0" w:space="0" w:color="auto"/>
                            <w:bottom w:val="none" w:sz="0" w:space="0" w:color="auto"/>
                            <w:right w:val="none" w:sz="0" w:space="0" w:color="auto"/>
                          </w:divBdr>
                        </w:div>
                      </w:divsChild>
                    </w:div>
                    <w:div w:id="13011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7751">
          <w:marLeft w:val="0"/>
          <w:marRight w:val="0"/>
          <w:marTop w:val="0"/>
          <w:marBottom w:val="0"/>
          <w:divBdr>
            <w:top w:val="none" w:sz="0" w:space="0" w:color="auto"/>
            <w:left w:val="none" w:sz="0" w:space="0" w:color="auto"/>
            <w:bottom w:val="none" w:sz="0" w:space="0" w:color="auto"/>
            <w:right w:val="none" w:sz="0" w:space="0" w:color="auto"/>
          </w:divBdr>
          <w:divsChild>
            <w:div w:id="2046248409">
              <w:marLeft w:val="0"/>
              <w:marRight w:val="0"/>
              <w:marTop w:val="0"/>
              <w:marBottom w:val="0"/>
              <w:divBdr>
                <w:top w:val="none" w:sz="0" w:space="0" w:color="auto"/>
                <w:left w:val="none" w:sz="0" w:space="0" w:color="auto"/>
                <w:bottom w:val="none" w:sz="0" w:space="0" w:color="auto"/>
                <w:right w:val="none" w:sz="0" w:space="0" w:color="auto"/>
              </w:divBdr>
              <w:divsChild>
                <w:div w:id="948469428">
                  <w:marLeft w:val="0"/>
                  <w:marRight w:val="0"/>
                  <w:marTop w:val="0"/>
                  <w:marBottom w:val="0"/>
                  <w:divBdr>
                    <w:top w:val="none" w:sz="0" w:space="0" w:color="auto"/>
                    <w:left w:val="none" w:sz="0" w:space="0" w:color="auto"/>
                    <w:bottom w:val="none" w:sz="0" w:space="0" w:color="auto"/>
                    <w:right w:val="none" w:sz="0" w:space="0" w:color="auto"/>
                  </w:divBdr>
                  <w:divsChild>
                    <w:div w:id="974482337">
                      <w:marLeft w:val="0"/>
                      <w:marRight w:val="0"/>
                      <w:marTop w:val="0"/>
                      <w:marBottom w:val="0"/>
                      <w:divBdr>
                        <w:top w:val="none" w:sz="0" w:space="0" w:color="auto"/>
                        <w:left w:val="none" w:sz="0" w:space="0" w:color="auto"/>
                        <w:bottom w:val="none" w:sz="0" w:space="0" w:color="auto"/>
                        <w:right w:val="none" w:sz="0" w:space="0" w:color="auto"/>
                      </w:divBdr>
                      <w:divsChild>
                        <w:div w:id="1688363180">
                          <w:marLeft w:val="0"/>
                          <w:marRight w:val="0"/>
                          <w:marTop w:val="0"/>
                          <w:marBottom w:val="0"/>
                          <w:divBdr>
                            <w:top w:val="none" w:sz="0" w:space="0" w:color="auto"/>
                            <w:left w:val="none" w:sz="0" w:space="0" w:color="auto"/>
                            <w:bottom w:val="none" w:sz="0" w:space="0" w:color="auto"/>
                            <w:right w:val="none" w:sz="0" w:space="0" w:color="auto"/>
                          </w:divBdr>
                        </w:div>
                      </w:divsChild>
                    </w:div>
                    <w:div w:id="7280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662">
          <w:marLeft w:val="0"/>
          <w:marRight w:val="0"/>
          <w:marTop w:val="0"/>
          <w:marBottom w:val="0"/>
          <w:divBdr>
            <w:top w:val="none" w:sz="0" w:space="0" w:color="auto"/>
            <w:left w:val="none" w:sz="0" w:space="0" w:color="auto"/>
            <w:bottom w:val="none" w:sz="0" w:space="0" w:color="auto"/>
            <w:right w:val="none" w:sz="0" w:space="0" w:color="auto"/>
          </w:divBdr>
          <w:divsChild>
            <w:div w:id="1659577814">
              <w:marLeft w:val="0"/>
              <w:marRight w:val="0"/>
              <w:marTop w:val="0"/>
              <w:marBottom w:val="0"/>
              <w:divBdr>
                <w:top w:val="none" w:sz="0" w:space="0" w:color="auto"/>
                <w:left w:val="none" w:sz="0" w:space="0" w:color="auto"/>
                <w:bottom w:val="none" w:sz="0" w:space="0" w:color="auto"/>
                <w:right w:val="none" w:sz="0" w:space="0" w:color="auto"/>
              </w:divBdr>
              <w:divsChild>
                <w:div w:id="97603202">
                  <w:marLeft w:val="0"/>
                  <w:marRight w:val="0"/>
                  <w:marTop w:val="0"/>
                  <w:marBottom w:val="0"/>
                  <w:divBdr>
                    <w:top w:val="none" w:sz="0" w:space="0" w:color="auto"/>
                    <w:left w:val="none" w:sz="0" w:space="0" w:color="auto"/>
                    <w:bottom w:val="none" w:sz="0" w:space="0" w:color="auto"/>
                    <w:right w:val="none" w:sz="0" w:space="0" w:color="auto"/>
                  </w:divBdr>
                  <w:divsChild>
                    <w:div w:id="1759205617">
                      <w:marLeft w:val="0"/>
                      <w:marRight w:val="0"/>
                      <w:marTop w:val="0"/>
                      <w:marBottom w:val="0"/>
                      <w:divBdr>
                        <w:top w:val="none" w:sz="0" w:space="0" w:color="auto"/>
                        <w:left w:val="none" w:sz="0" w:space="0" w:color="auto"/>
                        <w:bottom w:val="none" w:sz="0" w:space="0" w:color="auto"/>
                        <w:right w:val="none" w:sz="0" w:space="0" w:color="auto"/>
                      </w:divBdr>
                      <w:divsChild>
                        <w:div w:id="2032216086">
                          <w:marLeft w:val="0"/>
                          <w:marRight w:val="0"/>
                          <w:marTop w:val="0"/>
                          <w:marBottom w:val="0"/>
                          <w:divBdr>
                            <w:top w:val="none" w:sz="0" w:space="0" w:color="auto"/>
                            <w:left w:val="none" w:sz="0" w:space="0" w:color="auto"/>
                            <w:bottom w:val="none" w:sz="0" w:space="0" w:color="auto"/>
                            <w:right w:val="none" w:sz="0" w:space="0" w:color="auto"/>
                          </w:divBdr>
                        </w:div>
                      </w:divsChild>
                    </w:div>
                    <w:div w:id="6254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4488">
          <w:marLeft w:val="0"/>
          <w:marRight w:val="0"/>
          <w:marTop w:val="0"/>
          <w:marBottom w:val="0"/>
          <w:divBdr>
            <w:top w:val="none" w:sz="0" w:space="0" w:color="auto"/>
            <w:left w:val="none" w:sz="0" w:space="0" w:color="auto"/>
            <w:bottom w:val="none" w:sz="0" w:space="0" w:color="auto"/>
            <w:right w:val="none" w:sz="0" w:space="0" w:color="auto"/>
          </w:divBdr>
          <w:divsChild>
            <w:div w:id="533808276">
              <w:marLeft w:val="0"/>
              <w:marRight w:val="0"/>
              <w:marTop w:val="0"/>
              <w:marBottom w:val="0"/>
              <w:divBdr>
                <w:top w:val="none" w:sz="0" w:space="0" w:color="auto"/>
                <w:left w:val="none" w:sz="0" w:space="0" w:color="auto"/>
                <w:bottom w:val="none" w:sz="0" w:space="0" w:color="auto"/>
                <w:right w:val="none" w:sz="0" w:space="0" w:color="auto"/>
              </w:divBdr>
              <w:divsChild>
                <w:div w:id="428964693">
                  <w:marLeft w:val="0"/>
                  <w:marRight w:val="0"/>
                  <w:marTop w:val="0"/>
                  <w:marBottom w:val="0"/>
                  <w:divBdr>
                    <w:top w:val="none" w:sz="0" w:space="0" w:color="auto"/>
                    <w:left w:val="none" w:sz="0" w:space="0" w:color="auto"/>
                    <w:bottom w:val="none" w:sz="0" w:space="0" w:color="auto"/>
                    <w:right w:val="none" w:sz="0" w:space="0" w:color="auto"/>
                  </w:divBdr>
                  <w:divsChild>
                    <w:div w:id="85076243">
                      <w:marLeft w:val="0"/>
                      <w:marRight w:val="0"/>
                      <w:marTop w:val="0"/>
                      <w:marBottom w:val="0"/>
                      <w:divBdr>
                        <w:top w:val="none" w:sz="0" w:space="0" w:color="auto"/>
                        <w:left w:val="none" w:sz="0" w:space="0" w:color="auto"/>
                        <w:bottom w:val="none" w:sz="0" w:space="0" w:color="auto"/>
                        <w:right w:val="none" w:sz="0" w:space="0" w:color="auto"/>
                      </w:divBdr>
                      <w:divsChild>
                        <w:div w:id="363871169">
                          <w:marLeft w:val="0"/>
                          <w:marRight w:val="0"/>
                          <w:marTop w:val="0"/>
                          <w:marBottom w:val="0"/>
                          <w:divBdr>
                            <w:top w:val="none" w:sz="0" w:space="0" w:color="auto"/>
                            <w:left w:val="none" w:sz="0" w:space="0" w:color="auto"/>
                            <w:bottom w:val="none" w:sz="0" w:space="0" w:color="auto"/>
                            <w:right w:val="none" w:sz="0" w:space="0" w:color="auto"/>
                          </w:divBdr>
                        </w:div>
                      </w:divsChild>
                    </w:div>
                    <w:div w:id="1487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7152">
          <w:marLeft w:val="0"/>
          <w:marRight w:val="0"/>
          <w:marTop w:val="0"/>
          <w:marBottom w:val="0"/>
          <w:divBdr>
            <w:top w:val="none" w:sz="0" w:space="0" w:color="auto"/>
            <w:left w:val="none" w:sz="0" w:space="0" w:color="auto"/>
            <w:bottom w:val="none" w:sz="0" w:space="0" w:color="auto"/>
            <w:right w:val="none" w:sz="0" w:space="0" w:color="auto"/>
          </w:divBdr>
          <w:divsChild>
            <w:div w:id="1744335451">
              <w:marLeft w:val="0"/>
              <w:marRight w:val="0"/>
              <w:marTop w:val="0"/>
              <w:marBottom w:val="0"/>
              <w:divBdr>
                <w:top w:val="none" w:sz="0" w:space="0" w:color="auto"/>
                <w:left w:val="none" w:sz="0" w:space="0" w:color="auto"/>
                <w:bottom w:val="none" w:sz="0" w:space="0" w:color="auto"/>
                <w:right w:val="none" w:sz="0" w:space="0" w:color="auto"/>
              </w:divBdr>
              <w:divsChild>
                <w:div w:id="82725719">
                  <w:marLeft w:val="0"/>
                  <w:marRight w:val="0"/>
                  <w:marTop w:val="0"/>
                  <w:marBottom w:val="0"/>
                  <w:divBdr>
                    <w:top w:val="none" w:sz="0" w:space="0" w:color="auto"/>
                    <w:left w:val="none" w:sz="0" w:space="0" w:color="auto"/>
                    <w:bottom w:val="none" w:sz="0" w:space="0" w:color="auto"/>
                    <w:right w:val="none" w:sz="0" w:space="0" w:color="auto"/>
                  </w:divBdr>
                  <w:divsChild>
                    <w:div w:id="1366908175">
                      <w:marLeft w:val="0"/>
                      <w:marRight w:val="0"/>
                      <w:marTop w:val="0"/>
                      <w:marBottom w:val="0"/>
                      <w:divBdr>
                        <w:top w:val="none" w:sz="0" w:space="0" w:color="auto"/>
                        <w:left w:val="none" w:sz="0" w:space="0" w:color="auto"/>
                        <w:bottom w:val="none" w:sz="0" w:space="0" w:color="auto"/>
                        <w:right w:val="none" w:sz="0" w:space="0" w:color="auto"/>
                      </w:divBdr>
                      <w:divsChild>
                        <w:div w:id="950087308">
                          <w:marLeft w:val="0"/>
                          <w:marRight w:val="0"/>
                          <w:marTop w:val="0"/>
                          <w:marBottom w:val="0"/>
                          <w:divBdr>
                            <w:top w:val="none" w:sz="0" w:space="0" w:color="auto"/>
                            <w:left w:val="none" w:sz="0" w:space="0" w:color="auto"/>
                            <w:bottom w:val="none" w:sz="0" w:space="0" w:color="auto"/>
                            <w:right w:val="none" w:sz="0" w:space="0" w:color="auto"/>
                          </w:divBdr>
                        </w:div>
                      </w:divsChild>
                    </w:div>
                    <w:div w:id="9969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8337">
          <w:marLeft w:val="0"/>
          <w:marRight w:val="0"/>
          <w:marTop w:val="0"/>
          <w:marBottom w:val="0"/>
          <w:divBdr>
            <w:top w:val="none" w:sz="0" w:space="0" w:color="auto"/>
            <w:left w:val="none" w:sz="0" w:space="0" w:color="auto"/>
            <w:bottom w:val="none" w:sz="0" w:space="0" w:color="auto"/>
            <w:right w:val="none" w:sz="0" w:space="0" w:color="auto"/>
          </w:divBdr>
          <w:divsChild>
            <w:div w:id="318928357">
              <w:marLeft w:val="0"/>
              <w:marRight w:val="0"/>
              <w:marTop w:val="0"/>
              <w:marBottom w:val="0"/>
              <w:divBdr>
                <w:top w:val="none" w:sz="0" w:space="0" w:color="auto"/>
                <w:left w:val="none" w:sz="0" w:space="0" w:color="auto"/>
                <w:bottom w:val="none" w:sz="0" w:space="0" w:color="auto"/>
                <w:right w:val="none" w:sz="0" w:space="0" w:color="auto"/>
              </w:divBdr>
              <w:divsChild>
                <w:div w:id="1948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cbi.nlm.nih.gov/pmc/articles/PMC47738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cbi.nlm.nih.gov/pmc/articles/PMC4773875/" TargetMode="External"/><Relationship Id="rId5" Type="http://schemas.openxmlformats.org/officeDocument/2006/relationships/image" Target="media/image2.png"/><Relationship Id="rId10" Type="http://schemas.openxmlformats.org/officeDocument/2006/relationships/hyperlink" Target="https://www.ncbi.nlm.nih.gov/pmc/articles/PMC4773875/" TargetMode="External"/><Relationship Id="rId4" Type="http://schemas.openxmlformats.org/officeDocument/2006/relationships/image" Target="media/image1.png"/><Relationship Id="rId9" Type="http://schemas.openxmlformats.org/officeDocument/2006/relationships/hyperlink" Target="https://www.ncbi.nlm.nih.gov/pmc/articles/PMC47738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2025-03-25T01:57:00Z</dcterms:created>
  <dcterms:modified xsi:type="dcterms:W3CDTF">2025-03-25T01:57:00Z</dcterms:modified>
</cp:coreProperties>
</file>