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2024-01-16</w:t>
      </w:r>
    </w:p>
    <w:bookmarkStart w:id="37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FunctionTok"/>
        </w:rPr>
        <w:t xml:space="preserve">fn_descriptive_analysis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i1_w_MW =</w:t>
      </w:r>
      <w:r>
        <w:rPr>
          <w:rStyle w:val="NormalTok"/>
        </w:rPr>
        <w:t xml:space="preserve"> daten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i1_dd_w_MW, </w:t>
      </w:r>
      <w:r>
        <w:rPr>
          <w:rStyle w:val="AttributeTok"/>
        </w:rPr>
        <w:t xml:space="preserve">i1_f_MW =</w:t>
      </w:r>
      <w:r>
        <w:rPr>
          <w:rStyle w:val="NormalTok"/>
        </w:rPr>
        <w:t xml:space="preserve"> daten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i1_dd_f_MW)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2.387614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1.755285 3.019942</w:t>
      </w:r>
    </w:p>
    <w:bookmarkEnd w:id="28"/>
    <w:bookmarkStart w:id="35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4.634e-12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0.8449691</w:t>
      </w:r>
    </w:p>
    <w:bookmarkEnd w:id="35"/>
    <w:bookmarkStart w:id="36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0.9338359</w:t>
      </w:r>
    </w:p>
    <w:p>
      <w:r>
        <w:br w:type="page"/>
      </w:r>
    </w:p>
    <w:bookmarkEnd w:id="36"/>
    <w:bookmarkEnd w:id="37"/>
    <w:bookmarkStart w:id="55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38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&gt;&gt;&gt; i1_w_MW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i1_f_MW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38"/>
    <w:bookmarkStart w:id="45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1.163183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0.7207291 1.6056360</w:t>
      </w:r>
    </w:p>
    <w:bookmarkEnd w:id="46"/>
    <w:bookmarkStart w:id="53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&gt;&gt;&gt; Vorbedingungen prüfen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Wilcoxon-Vorzeichen-Rang-Test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2.11e-09</w:t>
      </w:r>
      <w:r>
        <w:br/>
      </w:r>
      <w:r>
        <w:rPr>
          <w:rStyle w:val="VerbatimChar"/>
        </w:rPr>
        <w:t xml:space="preserve">## alternative hypothesis: true mu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Wilcoxon-Test:  0.7316843</w:t>
      </w:r>
    </w:p>
    <w:bookmarkEnd w:id="53"/>
    <w:bookmarkStart w:id="54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&gt;&gt;&gt; Vorzeichen-Test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Effektstärke gemäß rangbasiertem Effektgrößenindex</w:t>
      </w:r>
      <w:r>
        <w:br/>
      </w:r>
      <w:r>
        <w:rPr>
          <w:rStyle w:val="VerbatimChar"/>
        </w:rPr>
        <w:t xml:space="preserve">## Effektstärke (r) für den Vorzeichen-Test:  0.699094</w:t>
      </w:r>
    </w:p>
    <w:p>
      <w:r>
        <w:br w:type="page"/>
      </w:r>
    </w:p>
    <w:bookmarkEnd w:id="54"/>
    <w:bookmarkEnd w:id="55"/>
    <w:bookmarkStart w:id="59" w:name="Xc7391fa0d9ffa1c1de80ea8be94124b074ca07d"/>
    <w:p>
      <w:pPr>
        <w:pStyle w:val="Heading1"/>
      </w:pPr>
      <w:r>
        <w:t xml:space="preserve">Analyse der Differenzen zwischen f- und w-Werten</w:t>
      </w:r>
    </w:p>
    <w:p>
      <w:pPr>
        <w:pStyle w:val="SourceCode"/>
      </w:pPr>
      <w:r>
        <w:rPr>
          <w:rStyle w:val="VerbatimChar"/>
        </w:rPr>
        <w:t xml:space="preserve">## In dieser Analyse werden die Werte der Diskrepanzerkennung und der Initialen Überraschung getrennt nach erlebnisbasiert (w|f) addiert, wobei die Werte der Initialen Überraschung auf Werte zwischen 0 und 1 normiert werden, damit diese auf dem Skalenniveau der Diskrepanzerkennung liegen.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Analyse auf Normalverteilung der Differenzen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0.98072, p-value = 0.3841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Grafische Beurteilung der Normalverteilung der Differenzen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f_daten and w_daten</w:t>
      </w:r>
      <w:r>
        <w:br/>
      </w:r>
      <w:r>
        <w:rPr>
          <w:rStyle w:val="VerbatimChar"/>
        </w:rPr>
        <w:t xml:space="preserve">## t = 14.124,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0.5616910 0.7466424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0.6541667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&gt;&gt;&gt; Effektstärkte gemäß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2.432867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1.754854 3.110880</w:t>
      </w:r>
    </w:p>
    <w:p>
      <w:r>
        <w:br w:type="page"/>
      </w:r>
    </w:p>
    <w:bookmarkEnd w:id="59"/>
    <w:bookmarkStart w:id="61" w:name="anhang"/>
    <w:p>
      <w:pPr>
        <w:pStyle w:val="Heading1"/>
      </w:pPr>
      <w:r>
        <w:t xml:space="preserve">Anhang</w:t>
      </w:r>
    </w:p>
    <w:bookmarkStart w:id="60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2024-01-16T18:08:08Z</dcterms:created>
  <dcterms:modified xsi:type="dcterms:W3CDTF">2024-01-16T18:08:08Z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>word_document</vt:lpwstr>
  </property>
</Properties>
</file>