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Основная лаба: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https://online.visual-paradigm.com/share.jsp?id=313839393230382d33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3 лаба ЧелМаш: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https://online.visual-paradigm.com/share.jsp?id=313839393230382d32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лаба ЧелМаш: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https://online.visual-paradigm.com/share.jsp?id=313839393230382d31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https://lucid.app/lucidchart/d2860b01-1e75-4576-acb5-3d8049187506/edit?view_items=U_Epn0PlUUul&amp;invitationId=inv_d3f46c5d-4f0d-4ea5-996e-bf64d2bad71c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диаграммы классов:</w:t>
      </w:r>
    </w:p>
    <w:p w:rsidR="00000000" w:rsidDel="00000000" w:rsidP="00000000" w:rsidRDefault="00000000" w:rsidRPr="00000000" w14:paraId="0000000B">
      <w:pPr>
        <w:spacing w:after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Классы: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Турнир (Tournament)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Название (name)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Дата проведения (date)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Победитель (winner)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Список команд (teams: List&lt;</w:t>
      </w:r>
      <w:r w:rsidDel="00000000" w:rsidR="00000000" w:rsidRPr="00000000">
        <w:rPr>
          <w:rtl w:val="0"/>
        </w:rPr>
        <w:t xml:space="preserve">Participant</w:t>
      </w:r>
      <w:r w:rsidDel="00000000" w:rsidR="00000000" w:rsidRPr="00000000">
        <w:rPr>
          <w:rtl w:val="0"/>
        </w:rPr>
        <w:t xml:space="preserve">&gt;)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Список сеток (brackets: List&lt;Bracket&gt;)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Сетка (Bracket)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Тип (type: main/losers)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Список матчей (matches: List&lt;Match&gt;)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Участник (Participant)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Название (name)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Матч (Match)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Стадия (stage)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Счет команды 1 (score_team1)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Счет команды 2 (score_team2)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Участник 1 (team1: Team)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Участник 2 (team2: Team)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2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Сетка (bracket: Bracket)</w:t>
      </w:r>
    </w:p>
    <w:p w:rsidR="00000000" w:rsidDel="00000000" w:rsidP="00000000" w:rsidRDefault="00000000" w:rsidRPr="00000000" w14:paraId="0000001E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Связи между классами: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Турнир (Tournament) - Сетка (Bracket)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Отношение: один ко многим (One to Many)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Тип связи: Композиция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Описание: Один турнир может иметь множество сеток, но сетки могут существовать и без турнира.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Турнир (Tournament) - Участник (Participant)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Отношение: один ко многим (One to Many)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Тип связи: Ассоциация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Описание: Один турнир может иметь множество участников.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Сетка (Bracket) - Матч (Match)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Отношение: один ко многим (One to Many)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Тип связи: Композиция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Описание: Одна сетка может иметь множество матчей, но матчи могут существовать и без сетки.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Матч (Match) - Участник (Participant)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Отношение: многие ко многим (Many to Many)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Тип связи: Ассоциация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2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Описание: Один матч связывает две команды, и команда может участвовать во многих матчах.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ucid.app/lucidchart/d2860b01-1e75-4576-acb5-3d8049187506/edit?view_items=U_Epn0PlUUul&amp;invitationId=inv_d3f46c5d-4f0d-4ea5-996e-bf64d2bad71c" TargetMode="External"/><Relationship Id="rId5" Type="http://schemas.openxmlformats.org/officeDocument/2006/relationships/styles" Target="styles.xml"/><Relationship Id="rId6" Type="http://schemas.openxmlformats.org/officeDocument/2006/relationships/hyperlink" Target="https://online.visual-paradigm.com/share.jsp?id=313839393230382d33" TargetMode="External"/><Relationship Id="rId7" Type="http://schemas.openxmlformats.org/officeDocument/2006/relationships/hyperlink" Target="https://online.visual-paradigm.com/share.jsp?id=313839393230382d32" TargetMode="External"/><Relationship Id="rId8" Type="http://schemas.openxmlformats.org/officeDocument/2006/relationships/hyperlink" Target="https://online.visual-paradigm.com/share.jsp?id=313839393230382d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