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E7E"/>
          <w:sz w:val="52"/>
        </w:rPr>
        <w:t>DK Workload Identity</w:t>
      </w:r>
    </w:p>
    <w:p>
      <w:pPr>
        <w:jc w:val="center"/>
      </w:pPr>
      <w:r>
        <w:rPr>
          <w:color w:val="003E7E"/>
          <w:sz w:val="32"/>
        </w:rPr>
        <w:t>Entra ID App Registration Runbook</w:t>
      </w:r>
    </w:p>
    <w:p>
      <w:pPr>
        <w:jc w:val="center"/>
      </w:pPr>
      <w:r>
        <w:rPr>
          <w:color w:val="555555"/>
          <w:sz w:val="20"/>
        </w:rPr>
        <w:t>v1.0 · April 2026 · Prepared by Confluent Professional Services</w:t>
      </w:r>
    </w:p>
    <w:p/>
    <w:p/>
    <w:p>
      <w:pPr>
        <w:pStyle w:val="Heading1"/>
      </w:pPr>
      <w:r>
        <w:rPr>
          <w:color w:val="003E7E"/>
        </w:rPr>
        <w:t>Purpose</w:t>
      </w:r>
    </w:p>
    <w:p>
      <w:r>
        <w:t>This runbook is the manual portal-based equivalent of the PowerShell script `New-WorkloadApps.ps1` shipped in the dk-workload-identity repository. It walks the DKP Entra-ID administrator through creating one app registration per (environment, domain, workload) so that each DKP workload can authenticate to Confluent Cloud with an Entra-issued JWT instead of a static Kafka API key.</w:t>
      </w:r>
    </w:p>
    <w:p>
      <w:r>
        <w:t>Each step below is repeated once per row in the accompanying spreadsheet `app-registrations.xlsx`. Field values come directly from that spreadsheet — the two documents are designed to be used side-by-side.</w:t>
      </w:r>
    </w:p>
    <w:p>
      <w:pPr>
        <w:pStyle w:val="Heading1"/>
      </w:pPr>
      <w:r>
        <w:rPr>
          <w:color w:val="003E7E"/>
        </w:rPr>
        <w:t>Who runs this</w:t>
      </w:r>
    </w:p>
    <w:p>
      <w:r>
        <w:t>A DKP Entra-ID administrator (or anyone delegated the Application Administrator role in the DKP tenant) executes this runbook. The Confluent Professional Services team does not need access to the DKP tenant.</w:t>
      </w:r>
    </w:p>
    <w:p>
      <w:pPr>
        <w:pStyle w:val="Heading1"/>
      </w:pPr>
      <w:r>
        <w:rPr>
          <w:color w:val="003E7E"/>
        </w:rPr>
        <w:t>Prerequisites</w:t>
      </w:r>
    </w:p>
    <w:p>
      <w:r>
        <w:t>Before you start, confirm you have:</w:t>
      </w:r>
    </w:p>
    <w:p>
      <w:pPr>
        <w:pStyle w:val="ListBullet"/>
      </w:pPr>
      <w:r>
        <w:t>A browser logged in to the Azure portal as a user who holds the Application Administrator role (or equivalent) in the DKP Entra tenant (7bab0bc1-bb61-48d7-b2d4-79825c2ac6b8).</w:t>
      </w:r>
    </w:p>
    <w:p>
      <w:pPr>
        <w:pStyle w:val="ListBullet"/>
      </w:pPr>
      <w:r>
        <w:t>The spreadsheet docs/app-registrations.xlsx open in a second window.</w:t>
      </w:r>
    </w:p>
    <w:p>
      <w:pPr>
        <w:pStyle w:val="ListBullet"/>
      </w:pPr>
      <w:r>
        <w:t>A working copy of the dk-workload-identity repository cloned into DKP's Git.</w:t>
      </w:r>
    </w:p>
    <w:p>
      <w:pPr>
        <w:pStyle w:val="Heading1"/>
      </w:pPr>
      <w:r>
        <w:rPr>
          <w:color w:val="003E7E"/>
        </w:rPr>
        <w:t>What you will create</w:t>
      </w:r>
    </w:p>
    <w:p>
      <w:r>
        <w:t>Fifteen Entra app registrations — one per row in the spreadsheet. Each app registration represents a single workload in a single environment and is paired 1:1 with a Confluent Cloud identity pool of the same name. The naming convention is:</w:t>
      </w:r>
    </w:p>
    <w:tbl>
      <w:tblPr>
        <w:tblW w:type="auto" w:w="0"/>
        <w:tblLayout w:type="fixed"/>
        <w:tblLook w:firstColumn="1" w:firstRow="1" w:lastColumn="0" w:lastRow="0" w:noHBand="0" w:noVBand="1" w:val="04A0"/>
      </w:tblPr>
      <w:tblGrid>
        <w:gridCol w:w="9972"/>
      </w:tblGrid>
      <w:tr>
        <w:tc>
          <w:tcPr>
            <w:tcW w:type="dxa" w:w="9071"/>
            <w:shd w:val="clear" w:color="auto" w:fill="F2F2F2"/>
            <w:vAlign w:val="top"/>
          </w:tcPr>
          <w:p>
            <w:pPr>
              <w:spacing w:after="0"/>
            </w:pPr>
            <w:r>
              <w:rPr>
                <w:rFonts w:ascii="Menlo" w:hAnsi="Menlo"/>
                <w:sz w:val="18"/>
              </w:rPr>
              <w:t>dk-confluent-{env}-{domain}-{workload}</w:t>
            </w:r>
          </w:p>
          <w:p>
            <w:pPr>
              <w:spacing w:after="0"/>
            </w:pPr>
            <w:r>
              <w:rPr>
                <w:rFonts w:ascii="Menlo" w:hAnsi="Menlo"/>
                <w:sz w:val="18"/>
              </w:rPr>
              <w:t xml:space="preserve"> </w:t>
            </w:r>
          </w:p>
          <w:p>
            <w:pPr>
              <w:spacing w:after="0"/>
            </w:pPr>
            <w:r>
              <w:rPr>
                <w:rFonts w:ascii="Menlo" w:hAnsi="Menlo"/>
                <w:sz w:val="18"/>
              </w:rPr>
              <w:t>Example: dk-confluent-dev-mergerarb-madam</w:t>
            </w:r>
          </w:p>
        </w:tc>
      </w:tr>
    </w:tbl>
    <w:p/>
    <w:p>
      <w:r>
        <w:t>Summary of what gets set per app, consistent across every row:</w:t>
      </w:r>
    </w:p>
    <w:tbl>
      <w:tblPr>
        <w:tblStyle w:val="LightGrid-Accent1"/>
        <w:tblW w:type="auto" w:w="0"/>
        <w:tblLook w:firstColumn="1" w:firstRow="1" w:lastColumn="0" w:lastRow="0" w:noHBand="0" w:noVBand="1" w:val="04A0"/>
      </w:tblPr>
      <w:tblGrid>
        <w:gridCol w:w="3402"/>
        <w:gridCol w:w="6236"/>
      </w:tblGrid>
      <w:tr>
        <w:tc>
          <w:tcPr>
            <w:tcW w:type="dxa" w:w="4986"/>
          </w:tcPr>
          <w:p>
            <w:r>
              <w:rPr>
                <w:b/>
              </w:rPr>
              <w:t>Field</w:t>
            </w:r>
          </w:p>
        </w:tc>
        <w:tc>
          <w:tcPr>
            <w:tcW w:type="dxa" w:w="4986"/>
          </w:tcPr>
          <w:p>
            <w:r>
              <w:rPr>
                <w:b/>
              </w:rPr>
              <w:t>Value</w:t>
            </w:r>
          </w:p>
        </w:tc>
      </w:tr>
      <w:tr>
        <w:tc>
          <w:tcPr>
            <w:tcW w:type="dxa" w:w="4986"/>
          </w:tcPr>
          <w:p>
            <w:r>
              <w:t>Sign-in audience</w:t>
            </w:r>
          </w:p>
        </w:tc>
        <w:tc>
          <w:tcPr>
            <w:tcW w:type="dxa" w:w="4986"/>
          </w:tcPr>
          <w:p>
            <w:r>
              <w:t>Accounts in this organizational directory only (Single tenant)</w:t>
            </w:r>
          </w:p>
        </w:tc>
      </w:tr>
      <w:tr>
        <w:tc>
          <w:tcPr>
            <w:tcW w:type="dxa" w:w="4986"/>
          </w:tcPr>
          <w:p>
            <w:r>
              <w:t>Redirect URI</w:t>
            </w:r>
          </w:p>
        </w:tc>
        <w:tc>
          <w:tcPr>
            <w:tcW w:type="dxa" w:w="4986"/>
          </w:tcPr>
          <w:p>
            <w:r>
              <w:t>(leave blank — not needed for client credentials)</w:t>
            </w:r>
          </w:p>
        </w:tc>
      </w:tr>
      <w:tr>
        <w:tc>
          <w:tcPr>
            <w:tcW w:type="dxa" w:w="4986"/>
          </w:tcPr>
          <w:p>
            <w:r>
              <w:t>Application ID URI</w:t>
            </w:r>
          </w:p>
        </w:tc>
        <w:tc>
          <w:tcPr>
            <w:tcW w:type="dxa" w:w="4986"/>
          </w:tcPr>
          <w:p>
            <w:r>
              <w:t>api://&lt;Application-(client)-ID&gt;  (Azure sets this by default)</w:t>
            </w:r>
          </w:p>
        </w:tc>
      </w:tr>
      <w:tr>
        <w:tc>
          <w:tcPr>
            <w:tcW w:type="dxa" w:w="4986"/>
          </w:tcPr>
          <w:p>
            <w:r>
              <w:t>Expose-an-API scope name &amp; value</w:t>
            </w:r>
          </w:p>
        </w:tc>
        <w:tc>
          <w:tcPr>
            <w:tcW w:type="dxa" w:w="4986"/>
          </w:tcPr>
          <w:p>
            <w:r>
              <w:t>access_as_application</w:t>
            </w:r>
          </w:p>
        </w:tc>
      </w:tr>
      <w:tr>
        <w:tc>
          <w:tcPr>
            <w:tcW w:type="dxa" w:w="4986"/>
          </w:tcPr>
          <w:p>
            <w:r>
              <w:t>Scope: admin consent display name</w:t>
            </w:r>
          </w:p>
        </w:tc>
        <w:tc>
          <w:tcPr>
            <w:tcW w:type="dxa" w:w="4986"/>
          </w:tcPr>
          <w:p>
            <w:r>
              <w:t>access_as_application</w:t>
            </w:r>
          </w:p>
        </w:tc>
      </w:tr>
      <w:tr>
        <w:tc>
          <w:tcPr>
            <w:tcW w:type="dxa" w:w="4986"/>
          </w:tcPr>
          <w:p>
            <w:r>
              <w:t>Scope: admin consent description</w:t>
            </w:r>
          </w:p>
        </w:tc>
        <w:tc>
          <w:tcPr>
            <w:tcW w:type="dxa" w:w="4986"/>
          </w:tcPr>
          <w:p>
            <w:r>
              <w:t>Allow the application to access Kafka on behalf of the &lt;workload&gt; workload.</w:t>
            </w:r>
          </w:p>
        </w:tc>
      </w:tr>
      <w:tr>
        <w:tc>
          <w:tcPr>
            <w:tcW w:type="dxa" w:w="4986"/>
          </w:tcPr>
          <w:p>
            <w:r>
              <w:t>Scope: state</w:t>
            </w:r>
          </w:p>
        </w:tc>
        <w:tc>
          <w:tcPr>
            <w:tcW w:type="dxa" w:w="4986"/>
          </w:tcPr>
          <w:p>
            <w:r>
              <w:t>Enabled</w:t>
            </w:r>
          </w:p>
        </w:tc>
      </w:tr>
      <w:tr>
        <w:tc>
          <w:tcPr>
            <w:tcW w:type="dxa" w:w="4986"/>
          </w:tcPr>
          <w:p>
            <w:r>
              <w:t>Manifest: requestedAccessTokenVersion</w:t>
            </w:r>
          </w:p>
        </w:tc>
        <w:tc>
          <w:tcPr>
            <w:tcW w:type="dxa" w:w="4986"/>
          </w:tcPr>
          <w:p>
            <w:r>
              <w:t>2</w:t>
            </w:r>
          </w:p>
        </w:tc>
      </w:tr>
    </w:tbl>
    <w:p/>
    <w:tbl>
      <w:tblPr>
        <w:tblW w:type="auto" w:w="0"/>
        <w:tblLook w:firstColumn="1" w:firstRow="1" w:lastColumn="0" w:lastRow="0" w:noHBand="0" w:noVBand="1" w:val="04A0"/>
      </w:tblPr>
      <w:tblGrid>
        <w:gridCol w:w="9972"/>
      </w:tblGrid>
      <w:tr>
        <w:tc>
          <w:tcPr>
            <w:tcW w:type="dxa" w:w="9972"/>
            <w:shd w:val="clear" w:color="auto" w:fill="EAF2FB"/>
          </w:tcPr>
          <w:p>
            <w:r>
              <w:rPr>
                <w:b/>
                <w:color w:val="003E7E"/>
              </w:rPr>
              <w:t xml:space="preserve">Why v2 access tokens.  </w:t>
            </w:r>
            <w:r>
              <w:rPr>
                <w:color w:val="1F1F1F"/>
              </w:rPr>
              <w:t>Confluent's identity provider is configured with the v2 Entra issuer URL (https://login.microsoftonline.com/&lt;tenant&gt;/v2.0). v1 tokens use a different issuer (sts.windows.net) and will fail the Confluent trust check. Step 8 below flips the app to v2 via the manifest.</w:t>
            </w:r>
          </w:p>
        </w:tc>
      </w:tr>
    </w:tbl>
    <w:p/>
    <w:p>
      <w:r>
        <w:br w:type="page"/>
      </w:r>
    </w:p>
    <w:p>
      <w:pPr>
        <w:pStyle w:val="Heading1"/>
      </w:pPr>
      <w:r>
        <w:rPr>
          <w:color w:val="003E7E"/>
        </w:rPr>
        <w:t>Procedure — repeat once per spreadsheet row</w:t>
      </w:r>
    </w:p>
    <w:tbl>
      <w:tblPr>
        <w:tblW w:type="auto" w:w="0"/>
        <w:tblLook w:firstColumn="1" w:firstRow="1" w:lastColumn="0" w:lastRow="0" w:noHBand="0" w:noVBand="1" w:val="04A0"/>
      </w:tblPr>
      <w:tblGrid>
        <w:gridCol w:w="9972"/>
      </w:tblGrid>
      <w:tr>
        <w:tc>
          <w:tcPr>
            <w:tcW w:type="dxa" w:w="9972"/>
            <w:shd w:val="clear" w:color="auto" w:fill="EAF2FB"/>
          </w:tcPr>
          <w:p>
            <w:r>
              <w:rPr>
                <w:b/>
                <w:color w:val="003E7E"/>
              </w:rPr>
              <w:t xml:space="preserve">Tip.  </w:t>
            </w:r>
            <w:r>
              <w:rPr>
                <w:color w:val="1F1F1F"/>
              </w:rPr>
              <w:t>Do one full cycle (Steps 1–8) for a single row first, confirm it looks right, then proceed through the remaining rows.</w:t>
            </w:r>
          </w:p>
        </w:tc>
      </w:tr>
    </w:tbl>
    <w:p/>
    <w:p>
      <w:pPr>
        <w:pStyle w:val="Heading2"/>
      </w:pPr>
      <w:r>
        <w:rPr>
          <w:color w:val="003E7E"/>
        </w:rPr>
        <w:t>Step 1. Open the app-registrations screen</w:t>
      </w:r>
    </w:p>
    <w:p>
      <w:r>
        <w:t>Sign in to the Azure portal, open Microsoft Entra ID in the left rail, then select App registrations under Manage.</w:t>
      </w:r>
    </w:p>
    <w:p>
      <w:pPr>
        <w:pStyle w:val="Heading2"/>
      </w:pPr>
      <w:r>
        <w:rPr>
          <w:color w:val="003E7E"/>
        </w:rPr>
        <w:t>Step 2. Start a new registration</w:t>
      </w:r>
    </w:p>
    <w:p>
      <w:r>
        <w:t>Click + New registration at the top of the list.</w:t>
      </w:r>
    </w:p>
    <w:p>
      <w:pPr>
        <w:pStyle w:val="Heading2"/>
      </w:pPr>
      <w:r>
        <w:rPr>
          <w:color w:val="003E7E"/>
        </w:rPr>
        <w:t>Step 3. Fill in the registration form</w:t>
      </w:r>
    </w:p>
    <w:p>
      <w:r>
        <w:t>Use the values below (all from the spreadsheet row you are working on):</w:t>
      </w:r>
    </w:p>
    <w:tbl>
      <w:tblPr>
        <w:tblStyle w:val="LightGrid-Accent1"/>
        <w:tblW w:type="auto" w:w="0"/>
        <w:tblLook w:firstColumn="1" w:firstRow="1" w:lastColumn="0" w:lastRow="0" w:noHBand="0" w:noVBand="1" w:val="04A0"/>
      </w:tblPr>
      <w:tblGrid>
        <w:gridCol w:w="3402"/>
        <w:gridCol w:w="6236"/>
      </w:tblGrid>
      <w:tr>
        <w:tc>
          <w:tcPr>
            <w:tcW w:type="dxa" w:w="4986"/>
          </w:tcPr>
          <w:p>
            <w:r>
              <w:rPr>
                <w:b/>
              </w:rPr>
              <w:t>Field</w:t>
            </w:r>
          </w:p>
        </w:tc>
        <w:tc>
          <w:tcPr>
            <w:tcW w:type="dxa" w:w="4986"/>
          </w:tcPr>
          <w:p>
            <w:r>
              <w:rPr>
                <w:b/>
              </w:rPr>
              <w:t>Value</w:t>
            </w:r>
          </w:p>
        </w:tc>
      </w:tr>
      <w:tr>
        <w:tc>
          <w:tcPr>
            <w:tcW w:type="dxa" w:w="4986"/>
          </w:tcPr>
          <w:p>
            <w:r>
              <w:t>Name</w:t>
            </w:r>
          </w:p>
        </w:tc>
        <w:tc>
          <w:tcPr>
            <w:tcW w:type="dxa" w:w="4986"/>
          </w:tcPr>
          <w:p>
            <w:r>
              <w:t>Column E — App Display Name (e.g. dk-confluent-dev-mergerarb-madam)</w:t>
            </w:r>
          </w:p>
        </w:tc>
      </w:tr>
      <w:tr>
        <w:tc>
          <w:tcPr>
            <w:tcW w:type="dxa" w:w="4986"/>
          </w:tcPr>
          <w:p>
            <w:r>
              <w:t>Supported account types</w:t>
            </w:r>
          </w:p>
        </w:tc>
        <w:tc>
          <w:tcPr>
            <w:tcW w:type="dxa" w:w="4986"/>
          </w:tcPr>
          <w:p>
            <w:r>
              <w:t>Column F — Accounts in this organizational directory only (Single tenant)</w:t>
            </w:r>
          </w:p>
        </w:tc>
      </w:tr>
      <w:tr>
        <w:tc>
          <w:tcPr>
            <w:tcW w:type="dxa" w:w="4986"/>
          </w:tcPr>
          <w:p>
            <w:r>
              <w:t>Redirect URI</w:t>
            </w:r>
          </w:p>
        </w:tc>
        <w:tc>
          <w:tcPr>
            <w:tcW w:type="dxa" w:w="4986"/>
          </w:tcPr>
          <w:p>
            <w:r>
              <w:t>Column G — leave blank</w:t>
            </w:r>
          </w:p>
        </w:tc>
      </w:tr>
    </w:tbl>
    <w:p/>
    <w:p>
      <w:pPr>
        <w:pStyle w:val="Heading2"/>
      </w:pPr>
      <w:r>
        <w:rPr>
          <w:color w:val="003E7E"/>
        </w:rPr>
        <w:t>Step 4. Register</w:t>
      </w:r>
    </w:p>
    <w:p>
      <w:r>
        <w:t>Click Register. The app's Overview page opens.</w:t>
      </w:r>
    </w:p>
    <w:p>
      <w:pPr>
        <w:pStyle w:val="Heading2"/>
      </w:pPr>
      <w:r>
        <w:rPr>
          <w:color w:val="003E7E"/>
        </w:rPr>
        <w:t>Step 5. Record the IDs in the spreadsheet</w:t>
      </w:r>
    </w:p>
    <w:p>
      <w:r>
        <w:t>On the Overview page, copy the two GUIDs shown at the top into the highlighted columns of the spreadsheet:</w:t>
      </w:r>
    </w:p>
    <w:tbl>
      <w:tblPr>
        <w:tblStyle w:val="LightGrid-Accent1"/>
        <w:tblW w:type="auto" w:w="0"/>
        <w:tblLook w:firstColumn="1" w:firstRow="1" w:lastColumn="0" w:lastRow="0" w:noHBand="0" w:noVBand="1" w:val="04A0"/>
      </w:tblPr>
      <w:tblGrid>
        <w:gridCol w:w="3402"/>
        <w:gridCol w:w="6236"/>
      </w:tblGrid>
      <w:tr>
        <w:tc>
          <w:tcPr>
            <w:tcW w:type="dxa" w:w="4986"/>
          </w:tcPr>
          <w:p>
            <w:r>
              <w:rPr>
                <w:b/>
              </w:rPr>
              <w:t>Field</w:t>
            </w:r>
          </w:p>
        </w:tc>
        <w:tc>
          <w:tcPr>
            <w:tcW w:type="dxa" w:w="4986"/>
          </w:tcPr>
          <w:p>
            <w:r>
              <w:rPr>
                <w:b/>
              </w:rPr>
              <w:t>Value</w:t>
            </w:r>
          </w:p>
        </w:tc>
      </w:tr>
      <w:tr>
        <w:tc>
          <w:tcPr>
            <w:tcW w:type="dxa" w:w="4986"/>
          </w:tcPr>
          <w:p>
            <w:r>
              <w:t>Application (client) ID</w:t>
            </w:r>
          </w:p>
        </w:tc>
        <w:tc>
          <w:tcPr>
            <w:tcW w:type="dxa" w:w="4986"/>
          </w:tcPr>
          <w:p>
            <w:r>
              <w:t>Column O</w:t>
            </w:r>
          </w:p>
        </w:tc>
      </w:tr>
      <w:tr>
        <w:tc>
          <w:tcPr>
            <w:tcW w:type="dxa" w:w="4986"/>
          </w:tcPr>
          <w:p>
            <w:r>
              <w:t>Object ID</w:t>
            </w:r>
          </w:p>
        </w:tc>
        <w:tc>
          <w:tcPr>
            <w:tcW w:type="dxa" w:w="4986"/>
          </w:tcPr>
          <w:p>
            <w:r>
              <w:t>Column P</w:t>
            </w:r>
          </w:p>
        </w:tc>
      </w:tr>
    </w:tbl>
    <w:p/>
    <w:p>
      <w:pPr>
        <w:pStyle w:val="Heading2"/>
      </w:pPr>
      <w:r>
        <w:rPr>
          <w:color w:val="003E7E"/>
        </w:rPr>
        <w:t>Step 6. Expose an API (Application ID URI)</w:t>
      </w:r>
    </w:p>
    <w:p>
      <w:r>
        <w:t>Left rail of the app → Expose an API → Set (next to 'Application ID URI'). Accept the default (api://&lt;Application-(client)-ID&gt;) and click Save. This value should match Column H template in the spreadsheet.</w:t>
      </w:r>
    </w:p>
    <w:p>
      <w:pPr>
        <w:pStyle w:val="Heading2"/>
      </w:pPr>
      <w:r>
        <w:rPr>
          <w:color w:val="003E7E"/>
        </w:rPr>
        <w:t>Step 7. Add the access scope</w:t>
      </w:r>
    </w:p>
    <w:p>
      <w:r>
        <w:t>On the same Expose an API page, click + Add a scope and fill in:</w:t>
      </w:r>
    </w:p>
    <w:tbl>
      <w:tblPr>
        <w:tblStyle w:val="LightGrid-Accent1"/>
        <w:tblW w:type="auto" w:w="0"/>
        <w:tblLook w:firstColumn="1" w:firstRow="1" w:lastColumn="0" w:lastRow="0" w:noHBand="0" w:noVBand="1" w:val="04A0"/>
      </w:tblPr>
      <w:tblGrid>
        <w:gridCol w:w="3402"/>
        <w:gridCol w:w="6236"/>
      </w:tblGrid>
      <w:tr>
        <w:tc>
          <w:tcPr>
            <w:tcW w:type="dxa" w:w="4986"/>
          </w:tcPr>
          <w:p>
            <w:r>
              <w:rPr>
                <w:b/>
              </w:rPr>
              <w:t>Field</w:t>
            </w:r>
          </w:p>
        </w:tc>
        <w:tc>
          <w:tcPr>
            <w:tcW w:type="dxa" w:w="4986"/>
          </w:tcPr>
          <w:p>
            <w:r>
              <w:rPr>
                <w:b/>
              </w:rPr>
              <w:t>Value</w:t>
            </w:r>
          </w:p>
        </w:tc>
      </w:tr>
      <w:tr>
        <w:tc>
          <w:tcPr>
            <w:tcW w:type="dxa" w:w="4986"/>
          </w:tcPr>
          <w:p>
            <w:r>
              <w:t>Scope name</w:t>
            </w:r>
          </w:p>
        </w:tc>
        <w:tc>
          <w:tcPr>
            <w:tcW w:type="dxa" w:w="4986"/>
          </w:tcPr>
          <w:p>
            <w:r>
              <w:t>Column I — access_as_application</w:t>
            </w:r>
          </w:p>
        </w:tc>
      </w:tr>
      <w:tr>
        <w:tc>
          <w:tcPr>
            <w:tcW w:type="dxa" w:w="4986"/>
          </w:tcPr>
          <w:p>
            <w:r>
              <w:t>Who can consent</w:t>
            </w:r>
          </w:p>
        </w:tc>
        <w:tc>
          <w:tcPr>
            <w:tcW w:type="dxa" w:w="4986"/>
          </w:tcPr>
          <w:p>
            <w:r>
              <w:t>Admins only</w:t>
            </w:r>
          </w:p>
        </w:tc>
      </w:tr>
      <w:tr>
        <w:tc>
          <w:tcPr>
            <w:tcW w:type="dxa" w:w="4986"/>
          </w:tcPr>
          <w:p>
            <w:r>
              <w:t>Admin consent display name</w:t>
            </w:r>
          </w:p>
        </w:tc>
        <w:tc>
          <w:tcPr>
            <w:tcW w:type="dxa" w:w="4986"/>
          </w:tcPr>
          <w:p>
            <w:r>
              <w:t>Column J — access_as_application</w:t>
            </w:r>
          </w:p>
        </w:tc>
      </w:tr>
      <w:tr>
        <w:tc>
          <w:tcPr>
            <w:tcW w:type="dxa" w:w="4986"/>
          </w:tcPr>
          <w:p>
            <w:r>
              <w:t>Admin consent description</w:t>
            </w:r>
          </w:p>
        </w:tc>
        <w:tc>
          <w:tcPr>
            <w:tcW w:type="dxa" w:w="4986"/>
          </w:tcPr>
          <w:p>
            <w:r>
              <w:t>Column K — Allow the application to access Kafka on behalf of the &lt;workload&gt; workload.</w:t>
            </w:r>
          </w:p>
        </w:tc>
      </w:tr>
      <w:tr>
        <w:tc>
          <w:tcPr>
            <w:tcW w:type="dxa" w:w="4986"/>
          </w:tcPr>
          <w:p>
            <w:r>
              <w:t>State</w:t>
            </w:r>
          </w:p>
        </w:tc>
        <w:tc>
          <w:tcPr>
            <w:tcW w:type="dxa" w:w="4986"/>
          </w:tcPr>
          <w:p>
            <w:r>
              <w:t>Column L — Enabled</w:t>
            </w:r>
          </w:p>
        </w:tc>
      </w:tr>
    </w:tbl>
    <w:p/>
    <w:p>
      <w:pPr>
        <w:pStyle w:val="Heading2"/>
      </w:pPr>
      <w:r>
        <w:rPr>
          <w:color w:val="003E7E"/>
        </w:rPr>
        <w:t>Step 8. Flip the access-token version to 2 (manifest)</w:t>
      </w:r>
    </w:p>
    <w:p>
      <w:r>
        <w:t>Left rail of the app → Manifest. Find the property `requestedAccessTokenVersion` under the `api` object. Change it from `null` (or `1`) to `2`. Click Save at the top. This is Column M in the spreadsheet — it is always 2.</w:t>
      </w:r>
    </w:p>
    <w:p>
      <w:r>
        <w:br w:type="page"/>
      </w:r>
    </w:p>
    <w:p>
      <w:pPr>
        <w:pStyle w:val="Heading1"/>
      </w:pPr>
      <w:r>
        <w:rPr>
          <w:color w:val="003E7E"/>
        </w:rPr>
        <w:t>After the final row</w:t>
      </w:r>
    </w:p>
    <w:p>
      <w:r>
        <w:t>Once every row in the spreadsheet has a filled-in Application (client) ID (Column O) and Object ID (Column P), the app-side setup is complete. Hand the spreadsheet back to the Confluent Professional Services team so they can:</w:t>
      </w:r>
    </w:p>
    <w:p>
      <w:pPr>
        <w:pStyle w:val="ListBullet"/>
      </w:pPr>
      <w:r>
        <w:t>Paste each Application (client) ID into terraform/live/&lt;env&gt;/workloads.json at the matching workload key.</w:t>
      </w:r>
    </w:p>
    <w:p>
      <w:pPr>
        <w:pStyle w:val="ListBullet"/>
      </w:pPr>
      <w:r>
        <w:t>Run the terraform-workload GitHub Actions workflow for _org, dev, uat, and prd — in that order — to provision the Confluent identity pools + role bindings.</w:t>
      </w:r>
    </w:p>
    <w:tbl>
      <w:tblPr>
        <w:tblW w:type="auto" w:w="0"/>
        <w:tblLook w:firstColumn="1" w:firstRow="1" w:lastColumn="0" w:lastRow="0" w:noHBand="0" w:noVBand="1" w:val="04A0"/>
      </w:tblPr>
      <w:tblGrid>
        <w:gridCol w:w="9972"/>
      </w:tblGrid>
      <w:tr>
        <w:tc>
          <w:tcPr>
            <w:tcW w:type="dxa" w:w="9972"/>
            <w:shd w:val="clear" w:color="auto" w:fill="EAF2FB"/>
          </w:tcPr>
          <w:p>
            <w:r>
              <w:rPr>
                <w:b/>
                <w:color w:val="003E7E"/>
              </w:rPr>
              <w:t xml:space="preserve">Service principal.  </w:t>
            </w:r>
            <w:r>
              <w:rPr>
                <w:color w:val="1F1F1F"/>
              </w:rPr>
              <w:t>Azure automatically provisions the service principal for each app as part of the portal-based New registration flow in Step 4 — no separate step is needed. (The PowerShell equivalent `New-MgApplication` does not do this, hence the extra `New-MgServicePrincipal` call in the script.)</w:t>
            </w:r>
          </w:p>
        </w:tc>
      </w:tr>
    </w:tbl>
    <w:p/>
    <w:p>
      <w:pPr>
        <w:pStyle w:val="Heading1"/>
      </w:pPr>
      <w:r>
        <w:rPr>
          <w:color w:val="003E7E"/>
        </w:rPr>
        <w:t>Troubleshooting</w:t>
      </w:r>
    </w:p>
    <w:tbl>
      <w:tblPr>
        <w:tblStyle w:val="LightGrid-Accent1"/>
        <w:tblW w:type="auto" w:w="0"/>
        <w:tblLook w:firstColumn="1" w:firstRow="1" w:lastColumn="0" w:lastRow="0" w:noHBand="0" w:noVBand="1" w:val="04A0"/>
      </w:tblPr>
      <w:tblGrid>
        <w:gridCol w:w="3402"/>
        <w:gridCol w:w="6236"/>
      </w:tblGrid>
      <w:tr>
        <w:tc>
          <w:tcPr>
            <w:tcW w:type="dxa" w:w="4986"/>
          </w:tcPr>
          <w:p>
            <w:r>
              <w:rPr>
                <w:b/>
              </w:rPr>
              <w:t>Field</w:t>
            </w:r>
          </w:p>
        </w:tc>
        <w:tc>
          <w:tcPr>
            <w:tcW w:type="dxa" w:w="4986"/>
          </w:tcPr>
          <w:p>
            <w:r>
              <w:rPr>
                <w:b/>
              </w:rPr>
              <w:t>Value</w:t>
            </w:r>
          </w:p>
        </w:tc>
      </w:tr>
      <w:tr>
        <w:tc>
          <w:tcPr>
            <w:tcW w:type="dxa" w:w="4986"/>
          </w:tcPr>
          <w:p>
            <w:r>
              <w:t>Confluent rejects the token with iss mismatch</w:t>
            </w:r>
          </w:p>
        </w:tc>
        <w:tc>
          <w:tcPr>
            <w:tcW w:type="dxa" w:w="4986"/>
          </w:tcPr>
          <w:p>
            <w:r>
              <w:t>The app is still issuing v1 tokens. Re-check Step 8 — the manifest must have `"requestedAccessTokenVersion": 2` under the `api` object, saved.</w:t>
            </w:r>
          </w:p>
        </w:tc>
      </w:tr>
      <w:tr>
        <w:tc>
          <w:tcPr>
            <w:tcW w:type="dxa" w:w="4986"/>
          </w:tcPr>
          <w:p>
            <w:r>
              <w:t>Confluent rejects with aud mismatch</w:t>
            </w:r>
          </w:p>
        </w:tc>
        <w:tc>
          <w:tcPr>
            <w:tcW w:type="dxa" w:w="4986"/>
          </w:tcPr>
          <w:p>
            <w:r>
              <w:t>Column O on the spreadsheet may have been mistyped into workloads.json. The pool filter expects the GUID alone (e.g. 72a90c20-…), not the api:// prefix.</w:t>
            </w:r>
          </w:p>
        </w:tc>
      </w:tr>
      <w:tr>
        <w:tc>
          <w:tcPr>
            <w:tcW w:type="dxa" w:w="4986"/>
          </w:tcPr>
          <w:p>
            <w:r>
              <w:t>'Insufficient privileges' when creating the app</w:t>
            </w:r>
          </w:p>
        </w:tc>
        <w:tc>
          <w:tcPr>
            <w:tcW w:type="dxa" w:w="4986"/>
          </w:tcPr>
          <w:p>
            <w:r>
              <w:t>Your Entra account is not an Application Administrator in the DKP tenant. Ask the Global Administrator to grant the role or assign a delegated admin.</w:t>
            </w:r>
          </w:p>
        </w:tc>
      </w:tr>
      <w:tr>
        <w:tc>
          <w:tcPr>
            <w:tcW w:type="dxa" w:w="4986"/>
          </w:tcPr>
          <w:p>
            <w:r>
              <w:t>Scope name clashes with an existing one</w:t>
            </w:r>
          </w:p>
        </w:tc>
        <w:tc>
          <w:tcPr>
            <w:tcW w:type="dxa" w:w="4986"/>
          </w:tcPr>
          <w:p>
            <w:r>
              <w:t>An earlier run of the runbook may have created the app already. Confirm Column O of the spreadsheet is still blank for this row; if not, this row has already been processed — skip it.</w:t>
            </w:r>
          </w:p>
        </w:tc>
      </w:tr>
    </w:tbl>
    <w:p/>
    <w:p>
      <w:r>
        <w:br w:type="page"/>
      </w:r>
    </w:p>
    <w:p>
      <w:pPr>
        <w:pStyle w:val="Heading1"/>
      </w:pPr>
      <w:r>
        <w:rPr>
          <w:color w:val="003E7E"/>
        </w:rPr>
        <w:t>Appendix A — Equivalent PowerShell (for reference only)</w:t>
      </w:r>
    </w:p>
    <w:p>
      <w:r>
        <w:t>The repository under powershell/ ships an automated version of this same procedure. If your security posture permits running PowerShell against the DKP tenant with the Microsoft.Graph module, the commands below produce identical results without the manual portal steps.</w:t>
      </w:r>
    </w:p>
    <w:tbl>
      <w:tblPr>
        <w:tblW w:type="auto" w:w="0"/>
        <w:tblLayout w:type="fixed"/>
        <w:tblLook w:firstColumn="1" w:firstRow="1" w:lastColumn="0" w:lastRow="0" w:noHBand="0" w:noVBand="1" w:val="04A0"/>
      </w:tblPr>
      <w:tblGrid>
        <w:gridCol w:w="9972"/>
      </w:tblGrid>
      <w:tr>
        <w:tc>
          <w:tcPr>
            <w:tcW w:type="dxa" w:w="9071"/>
            <w:shd w:val="clear" w:color="auto" w:fill="F2F2F2"/>
            <w:vAlign w:val="top"/>
          </w:tcPr>
          <w:p>
            <w:pPr>
              <w:spacing w:after="0"/>
            </w:pPr>
            <w:r>
              <w:rPr>
                <w:rFonts w:ascii="Menlo" w:hAnsi="Menlo"/>
                <w:sz w:val="18"/>
              </w:rPr>
              <w:t># One-time connect</w:t>
            </w:r>
          </w:p>
          <w:p>
            <w:pPr>
              <w:spacing w:after="0"/>
            </w:pPr>
            <w:r>
              <w:rPr>
                <w:rFonts w:ascii="Menlo" w:hAnsi="Menlo"/>
                <w:sz w:val="18"/>
              </w:rPr>
              <w:t>Connect-MgGraph -TenantId 7bab0bc1-bb61-48d7-b2d4-79825c2ac6b8 `</w:t>
            </w:r>
          </w:p>
          <w:p>
            <w:pPr>
              <w:spacing w:after="0"/>
            </w:pPr>
            <w:r>
              <w:rPr>
                <w:rFonts w:ascii="Menlo" w:hAnsi="Menlo"/>
                <w:sz w:val="18"/>
              </w:rPr>
              <w:t xml:space="preserve">                -Scopes "Application.ReadWrite.All"</w:t>
            </w:r>
          </w:p>
          <w:p>
            <w:pPr>
              <w:spacing w:after="0"/>
            </w:pPr>
            <w:r>
              <w:rPr>
                <w:rFonts w:ascii="Menlo" w:hAnsi="Menlo"/>
                <w:sz w:val="18"/>
              </w:rPr>
              <w:t xml:space="preserve"> </w:t>
            </w:r>
          </w:p>
          <w:p>
            <w:pPr>
              <w:spacing w:after="0"/>
            </w:pPr>
            <w:r>
              <w:rPr>
                <w:rFonts w:ascii="Menlo" w:hAnsi="Menlo"/>
                <w:sz w:val="18"/>
              </w:rPr>
              <w:t># Create every app listed in workloads.&lt;env&gt;.json</w:t>
            </w:r>
          </w:p>
          <w:p>
            <w:pPr>
              <w:spacing w:after="0"/>
            </w:pPr>
            <w:r>
              <w:rPr>
                <w:rFonts w:ascii="Menlo" w:hAnsi="Menlo"/>
                <w:sz w:val="18"/>
              </w:rPr>
              <w:t>./powershell/scripts/New-WorkloadApps.ps1 `</w:t>
            </w:r>
          </w:p>
          <w:p>
            <w:pPr>
              <w:spacing w:after="0"/>
            </w:pPr>
            <w:r>
              <w:rPr>
                <w:rFonts w:ascii="Menlo" w:hAnsi="Menlo"/>
                <w:sz w:val="18"/>
              </w:rPr>
              <w:t xml:space="preserve">    -ConfigPath ./powershell/config/workloads.dev.json</w:t>
            </w:r>
          </w:p>
          <w:p>
            <w:pPr>
              <w:spacing w:after="0"/>
            </w:pPr>
            <w:r>
              <w:rPr>
                <w:rFonts w:ascii="Menlo" w:hAnsi="Menlo"/>
                <w:sz w:val="18"/>
              </w:rPr>
              <w:t xml:space="preserve"> </w:t>
            </w:r>
          </w:p>
          <w:p>
            <w:pPr>
              <w:spacing w:after="0"/>
            </w:pPr>
            <w:r>
              <w:rPr>
                <w:rFonts w:ascii="Menlo" w:hAnsi="Menlo"/>
                <w:sz w:val="18"/>
              </w:rPr>
              <w:t># Dump the app IDs into a JSON snippet for terragrunt</w:t>
            </w:r>
          </w:p>
          <w:p>
            <w:pPr>
              <w:spacing w:after="0"/>
            </w:pPr>
            <w:r>
              <w:rPr>
                <w:rFonts w:ascii="Menlo" w:hAnsi="Menlo"/>
                <w:sz w:val="18"/>
              </w:rPr>
              <w:t>./powershell/scripts/Export-WorkloadApps.ps1 `</w:t>
            </w:r>
          </w:p>
          <w:p>
            <w:pPr>
              <w:spacing w:after="0"/>
            </w:pPr>
            <w:r>
              <w:rPr>
                <w:rFonts w:ascii="Menlo" w:hAnsi="Menlo"/>
                <w:sz w:val="18"/>
              </w:rPr>
              <w:t xml:space="preserve">    -ConfigPath ./powershell/config/workloads.dev.json</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