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0"/>
      </w:pPr>
    </w:p>
    <w:p>
      <w:pPr>
        <w:spacing w:after="360"/>
        <w:jc w:val="center"/>
      </w:pPr>
      <w:r>
        <w:rPr>
          <w:rFonts w:ascii="Calibri" w:hAnsi="Calibri" w:eastAsia="微软雅黑"/>
          <w:b/>
          <w:color w:val="2E74B5"/>
          <w:sz w:val="24"/>
        </w:rPr>
        <w:t>软件著作权登记材料</w:t>
      </w:r>
    </w:p>
    <w:p>
      <w:pPr>
        <w:pStyle w:val="Title"/>
        <w:jc w:val="center"/>
      </w:pPr>
      <w:r>
        <w:t>云寻智慧农业AI工作台软件</w:t>
      </w:r>
    </w:p>
    <w:p>
      <w:pPr>
        <w:pStyle w:val="Subtitle"/>
        <w:jc w:val="center"/>
      </w:pPr>
      <w:r>
        <w:t>操作说明书</w:t>
      </w:r>
    </w:p>
    <w:p>
      <w:pPr>
        <w:spacing w:before="520" w:after="120"/>
        <w:jc w:val="center"/>
      </w:pPr>
      <w:r>
        <w:rPr>
          <w:rFonts w:ascii="Calibri" w:hAnsi="Calibri" w:eastAsia="微软雅黑"/>
          <w:b/>
          <w:color w:val="1F4D78"/>
          <w:sz w:val="32"/>
        </w:rPr>
        <w:t>V1.0.0</w:t>
      </w:r>
    </w:p>
    <w:p>
      <w:pPr>
        <w:jc w:val="center"/>
      </w:pPr>
      <w:r>
        <w:rPr>
          <w:rFonts w:ascii="Calibri" w:hAnsi="Calibri" w:eastAsia="微软雅黑"/>
          <w:color w:val="59646E"/>
          <w:sz w:val="21"/>
        </w:rPr>
        <w:t>Git Tag v1.0.0  |  Commit b952778  |  数据库 Schema 1</w:t>
      </w:r>
    </w:p>
    <w:p>
      <w:r>
        <w:br w:type="page"/>
      </w:r>
    </w:p>
    <w:p>
      <w:pPr>
        <w:pStyle w:val="Heading1"/>
      </w:pPr>
      <w:r>
        <w:t>1. 使用说明与版本边界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说明目的：</w:t>
      </w:r>
      <w:r>
        <w:rPr>
          <w:rFonts w:ascii="Calibri" w:hAnsi="Calibri" w:eastAsia="微软雅黑"/>
          <w:color w:val="1E1E1E"/>
          <w:sz w:val="21"/>
        </w:rPr>
        <w:t>本说明书用于说明云寻智慧农业AI工作台软件 V1.0.0 的登录、农技问答、会话管理、田间图片初步诊断、今日农活建议、个人设置和健康检查操作。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功能基线：</w:t>
      </w:r>
      <w:r>
        <w:rPr>
          <w:rFonts w:ascii="Calibri" w:hAnsi="Calibri" w:eastAsia="微软雅黑"/>
          <w:color w:val="1E1E1E"/>
          <w:sz w:val="21"/>
        </w:rPr>
        <w:t>所有文字和截图均以 Git 标签 v1.0.0、Commit b952778、数据库 Schema 1 为唯一依据。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演示边界：</w:t>
      </w:r>
      <w:r>
        <w:rPr>
          <w:rFonts w:ascii="Calibri" w:hAnsi="Calibri" w:eastAsia="微软雅黑"/>
          <w:color w:val="1E1E1E"/>
          <w:sz w:val="21"/>
        </w:rPr>
        <w:t>截图环境没有配置真实模型 Key。农技问答、图片诊断和农活建议以本地演示输出展示界面流程，不构成真实农业诊断或用药结论。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b/>
                <w:color w:val="1F4D78"/>
                <w:sz w:val="20"/>
              </w:rPr>
              <w:t>软件全称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color w:val="191919"/>
                <w:sz w:val="20"/>
              </w:rPr>
              <w:t>云寻智慧农业AI工作台软件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b/>
                <w:color w:val="1F4D78"/>
                <w:sz w:val="20"/>
              </w:rPr>
              <w:t>软件简称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color w:val="191919"/>
                <w:sz w:val="20"/>
              </w:rPr>
              <w:t>云寻AI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b/>
                <w:color w:val="1F4D78"/>
                <w:sz w:val="20"/>
              </w:rPr>
              <w:t>机器版本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color w:val="191919"/>
                <w:sz w:val="20"/>
              </w:rPr>
              <w:t>1.0.0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b/>
                <w:color w:val="1F4D78"/>
                <w:sz w:val="20"/>
              </w:rPr>
              <w:t>文案版本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color w:val="191919"/>
                <w:sz w:val="20"/>
              </w:rPr>
              <w:t>V1.0.0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b/>
                <w:color w:val="1F4D78"/>
                <w:sz w:val="20"/>
              </w:rPr>
              <w:t>正式数据库版本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color w:val="191919"/>
                <w:sz w:val="20"/>
              </w:rPr>
              <w:t>Schema 1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b/>
                <w:color w:val="1F4D78"/>
                <w:sz w:val="20"/>
              </w:rPr>
              <w:t>主要运行方式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微软雅黑"/>
                <w:color w:val="191919"/>
                <w:sz w:val="20"/>
              </w:rPr>
              <w:t>Windows 本机或受控局域网浏览器访问</w:t>
            </w:r>
          </w:p>
        </w:tc>
      </w:tr>
    </w:tbl>
    <w:p>
      <w:pPr>
        <w:pStyle w:val="Heading1"/>
      </w:pPr>
      <w:r>
        <w:t>2. 界面操作说明</w:t>
      </w:r>
    </w:p>
    <w:p>
      <w:pPr>
        <w:keepNext/>
      </w:pPr>
      <w:r>
        <w:t>以下页面按实际使用顺序说明。每张图片均来自 V1.0 标签快照的真实运行界面，使用临时数据库和虚构示例数据。</w:t>
      </w:r>
    </w:p>
    <w:p>
      <w:r>
        <w:br w:type="page"/>
      </w:r>
    </w:p>
    <w:p>
      <w:pPr>
        <w:pStyle w:val="Heading1"/>
        <w:keepNext/>
      </w:pPr>
      <w:r>
        <w:t>01. 登录页</w:t>
      </w:r>
    </w:p>
    <w:p>
      <w:pPr>
        <w:keepNext/>
      </w:pPr>
      <w:r>
        <w:t>展示软件简称、运行模式、模型状态以及登录和访客入口。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登录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1  登录页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打开前端地址，在登录区域输入已有账号，或选择“访客登录”直接体验。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登录页只展示运行状态，不展示 Token、密码明文或 API Key。</w:t>
      </w:r>
    </w:p>
    <w:p>
      <w:r>
        <w:br w:type="page"/>
      </w:r>
    </w:p>
    <w:p>
      <w:pPr>
        <w:pStyle w:val="Heading1"/>
        <w:keepNext/>
      </w:pPr>
      <w:r>
        <w:t>02. 用户注册</w:t>
      </w:r>
    </w:p>
    <w:p>
      <w:pPr>
        <w:keepNext/>
      </w:pPr>
      <w:r>
        <w:t>展示显示名称、用户名和密码三个注册字段。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用户注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2  用户注册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切换到“注册”，填写显示名称、用户名和至少四位密码，然后选择“注册并进入”。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图中账号为虚构示例，未提交注册。</w:t>
      </w:r>
    </w:p>
    <w:p>
      <w:r>
        <w:br w:type="page"/>
      </w:r>
    </w:p>
    <w:p>
      <w:pPr>
        <w:pStyle w:val="Heading1"/>
        <w:keepNext/>
      </w:pPr>
      <w:r>
        <w:t>03. 访客首页</w:t>
      </w:r>
    </w:p>
    <w:p>
      <w:pPr>
        <w:keepNext/>
      </w:pPr>
      <w:r>
        <w:t>访客登录后进入智能问答工作台，可看到功能导航和运行状态。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访客首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3  访客首页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选择“访客登录”，系统创建临时访客身份并进入首页。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首页功能均属于 V1.0；页面使用本地演示模式。</w:t>
      </w:r>
    </w:p>
    <w:p>
      <w:r>
        <w:br w:type="page"/>
      </w:r>
    </w:p>
    <w:p>
      <w:pPr>
        <w:pStyle w:val="Heading1"/>
        <w:keepNext/>
      </w:pPr>
      <w:r>
        <w:t>04. 农技问答空状态</w:t>
      </w:r>
    </w:p>
    <w:p>
      <w:pPr>
        <w:keepNext/>
      </w:pPr>
      <w:r>
        <w:t>展示示例问题、当前上下文和消息输入区。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5649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农技问答空状态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5649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4  农技问答空状态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可点击示例问题自动填入，也可直接在输入框中填写问题。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发送第一条消息后才会创建并保存会话。</w:t>
      </w:r>
    </w:p>
    <w:p>
      <w:r>
        <w:br w:type="page"/>
      </w:r>
    </w:p>
    <w:p>
      <w:pPr>
        <w:pStyle w:val="Heading1"/>
        <w:keepNext/>
      </w:pPr>
      <w:r>
        <w:t>05. 新建农技会话</w:t>
      </w:r>
    </w:p>
    <w:p>
      <w:pPr>
        <w:keepNext/>
      </w:pPr>
      <w:r>
        <w:t>展示新会话中的问题准备状态。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新建农技会话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5  新建农技会话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选择“新建会话”，输入作物、生长期、症状或巡田目标。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问题使用虚构农业场景，不含个人或地块敏感信息。</w:t>
      </w:r>
    </w:p>
    <w:p>
      <w:r>
        <w:br w:type="page"/>
      </w:r>
    </w:p>
    <w:p>
      <w:pPr>
        <w:pStyle w:val="Heading1"/>
        <w:keepNext/>
      </w:pPr>
      <w:r>
        <w:t>06. 消息发送中</w:t>
      </w:r>
    </w:p>
    <w:p>
      <w:pPr>
        <w:keepNext/>
      </w:pPr>
      <w:r>
        <w:t>展示用户消息、助手占位消息和处理中状态。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消息发送中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6  消息发送中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选择“发送”后，界面立即显示消息并锁定重复提交，等待后端返回。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处理中状态属于 V1.0 的消息交互能力。</w:t>
      </w:r>
    </w:p>
    <w:p>
      <w:r>
        <w:br w:type="page"/>
      </w:r>
    </w:p>
    <w:p>
      <w:pPr>
        <w:pStyle w:val="Heading1"/>
        <w:keepNext/>
      </w:pPr>
      <w:r>
        <w:t>07. 演示模式回复</w:t>
      </w:r>
    </w:p>
    <w:p>
      <w:pPr>
        <w:keepNext/>
      </w:pPr>
      <w:r>
        <w:t>展示本地演示模式下的农技建议和安全提醒。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演示模式回复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7  演示模式回复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后端未配置真实模型 Key 时，根据问题关键词返回固定演示建议。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演示回复不代表真实模型诊断，农药使用仍应遵循当地农技指导和标签。</w:t>
      </w:r>
    </w:p>
    <w:p>
      <w:r>
        <w:br w:type="page"/>
      </w:r>
    </w:p>
    <w:p>
      <w:pPr>
        <w:pStyle w:val="Heading1"/>
        <w:keepNext/>
      </w:pPr>
      <w:r>
        <w:t>08. 会话历史列表</w:t>
      </w:r>
    </w:p>
    <w:p>
      <w:pPr>
        <w:keepNext/>
      </w:pPr>
      <w:r>
        <w:t>展示多个农技问答会话及其标题、模型和最近消息。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会话历史列表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8  会话历史列表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发送新问题后，历史会话保存在左侧；选择任一会话可恢复上下文。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图中会话标题和内容均为虚构示例。</w:t>
      </w:r>
    </w:p>
    <w:p>
      <w:r>
        <w:br w:type="page"/>
      </w:r>
    </w:p>
    <w:p>
      <w:pPr>
        <w:pStyle w:val="Heading1"/>
        <w:keepNext/>
      </w:pPr>
      <w:r>
        <w:t>09. 会话重命名</w:t>
      </w:r>
    </w:p>
    <w:p>
      <w:pPr>
        <w:keepNext/>
      </w:pPr>
      <w:r>
        <w:t>展示会话标题修改后的结果。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会话重命名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9  会话重命名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选择历史会话，在“当前会话”区域修改标题并选择“保存标题”。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重命名只改变会话标题，不改变消息内容。</w:t>
      </w:r>
    </w:p>
    <w:p>
      <w:r>
        <w:br w:type="page"/>
      </w:r>
    </w:p>
    <w:p>
      <w:pPr>
        <w:pStyle w:val="Heading1"/>
        <w:keepNext/>
      </w:pPr>
      <w:r>
        <w:t>10. 会话删除确认</w:t>
      </w:r>
    </w:p>
    <w:p>
      <w:pPr>
        <w:keepNext/>
      </w:pPr>
      <w:r>
        <w:t>展示删除会话前的二次确认对话框。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会话删除确认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10  会话删除确认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选择“删除”后核对提示；确认删除将永久移除会话及其消息。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本图停留在确认阶段，没有执行删除。</w:t>
      </w:r>
    </w:p>
    <w:p>
      <w:r>
        <w:br w:type="page"/>
      </w:r>
    </w:p>
    <w:p>
      <w:pPr>
        <w:pStyle w:val="Heading1"/>
        <w:keepNext/>
      </w:pPr>
      <w:r>
        <w:t>11. 长会话历史</w:t>
      </w:r>
    </w:p>
    <w:p>
      <w:pPr>
        <w:keepNext/>
      </w:pPr>
      <w:r>
        <w:t>展示消息超过单次加载数量后的“加载更早消息”入口。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长会话历史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11  长会话历史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进入长会话后选择“加载更早消息”，系统按游标继续读取历史记录。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截图使用自动生成的虚构巡田记录。</w:t>
      </w:r>
    </w:p>
    <w:p>
      <w:r>
        <w:br w:type="page"/>
      </w:r>
    </w:p>
    <w:p>
      <w:pPr>
        <w:pStyle w:val="Heading1"/>
        <w:keepNext/>
      </w:pPr>
      <w:r>
        <w:t>12. 发送失败恢复</w:t>
      </w:r>
    </w:p>
    <w:p>
      <w:pPr>
        <w:keepNext/>
      </w:pPr>
      <w:r>
        <w:t>展示网络失败后的消息状态、错误提示和输入恢复。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发送失败恢复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12  发送失败恢复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请求失败时，原问题会回到输入框，用户可检查服务后再次发送。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错误界面不显示内部异常堆栈、Token 或请求凭证。</w:t>
      </w:r>
    </w:p>
    <w:p>
      <w:r>
        <w:br w:type="page"/>
      </w:r>
    </w:p>
    <w:p>
      <w:pPr>
        <w:pStyle w:val="Heading1"/>
        <w:keepNext/>
      </w:pPr>
      <w:r>
        <w:t>13. 图片诊断入口</w:t>
      </w:r>
    </w:p>
    <w:p>
      <w:pPr>
        <w:keepNext/>
      </w:pPr>
      <w:r>
        <w:t>展示作物图片上传、作物选择、情况描述和诊断入口。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图片诊断入口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13  图片诊断入口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选择 JPG、PNG 或 WebP 图片，填写作物和现场症状后开始诊断。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本地演示模式不会进行真实图片识别。</w:t>
      </w:r>
    </w:p>
    <w:p>
      <w:r>
        <w:br w:type="page"/>
      </w:r>
    </w:p>
    <w:p>
      <w:pPr>
        <w:pStyle w:val="Heading1"/>
        <w:keepNext/>
      </w:pPr>
      <w:r>
        <w:t>14. 图片校验提示</w:t>
      </w:r>
    </w:p>
    <w:p>
      <w:pPr>
        <w:keepNext/>
      </w:pPr>
      <w:r>
        <w:t>展示不支持文件格式时的前端校验。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图片校验提示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14  图片校验提示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选择非 JPG、PNG、WebP 文件后，系统拒绝文件并提示允许的格式。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校验在上传前完成，避免无效文件进入后端。</w:t>
      </w:r>
    </w:p>
    <w:p>
      <w:r>
        <w:br w:type="page"/>
      </w:r>
    </w:p>
    <w:p>
      <w:pPr>
        <w:pStyle w:val="Heading1"/>
        <w:keepNext/>
      </w:pPr>
      <w:r>
        <w:t>15. 图片初步诊断结果</w:t>
      </w:r>
    </w:p>
    <w:p>
      <w:pPr>
        <w:keepNext/>
      </w:pPr>
      <w:r>
        <w:t>展示演示模式返回的补拍和排查建议。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1032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图片初步诊断结果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15  图片初步诊断结果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上传示例图片并提交后，在“诊断结果”区域查看回复。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截图明确声明未配置 AI Key，不把演示结果写成真实病害识别。</w:t>
      </w:r>
    </w:p>
    <w:p>
      <w:r>
        <w:br w:type="page"/>
      </w:r>
    </w:p>
    <w:p>
      <w:pPr>
        <w:pStyle w:val="Heading1"/>
        <w:keepNext/>
      </w:pPr>
      <w:r>
        <w:t>16. 今日农活输入</w:t>
      </w:r>
    </w:p>
    <w:p>
      <w:pPr>
        <w:keepNext/>
      </w:pPr>
      <w:r>
        <w:t>展示作物、生长期、气温、降雨概率和土壤湿度输入。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今日农活输入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16  今日农活输入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根据当天实际情况填写田间条件，然后选择“生成今日建议”。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图中数值和作物均为虚构示例。</w:t>
      </w:r>
    </w:p>
    <w:p>
      <w:r>
        <w:br w:type="page"/>
      </w:r>
    </w:p>
    <w:p>
      <w:pPr>
        <w:pStyle w:val="Heading1"/>
        <w:keepNext/>
      </w:pPr>
      <w:r>
        <w:t>17. 今日农活建议</w:t>
      </w:r>
    </w:p>
    <w:p>
      <w:pPr>
        <w:keepNext/>
      </w:pPr>
      <w:r>
        <w:t>展示根据田间条件生成的巡田、肥水和风险建议。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今日农活建议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17  今日农活建议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提交条件后，在右侧输出区域查看当日建议及其依据。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建议用于计划辅助，不能替代当地气象预警和农技人员判断。</w:t>
      </w:r>
    </w:p>
    <w:p>
      <w:r>
        <w:br w:type="page"/>
      </w:r>
    </w:p>
    <w:p>
      <w:pPr>
        <w:pStyle w:val="Heading1"/>
        <w:keepNext/>
      </w:pPr>
      <w:r>
        <w:t>18. 用户资料设置</w:t>
      </w:r>
    </w:p>
    <w:p>
      <w:pPr>
        <w:keepNext/>
      </w:pPr>
      <w:r>
        <w:t>展示显示名称、默认模型、保存设置和退出入口。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3412338" cy="457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用户资料设置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2338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18  用户资料设置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修改显示名称或默认模型后选择“保存设置”；结束使用时选择“退出登录”。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图中访客标识由系统临时生成，不是申请人的真实账号。</w:t>
      </w:r>
    </w:p>
    <w:p>
      <w:r>
        <w:br w:type="page"/>
      </w:r>
    </w:p>
    <w:p>
      <w:pPr>
        <w:pStyle w:val="Heading1"/>
        <w:keepNext/>
      </w:pPr>
      <w:r>
        <w:t>19. 后端健康检查</w:t>
      </w:r>
    </w:p>
    <w:p>
      <w:pPr>
        <w:keepNext/>
      </w:pPr>
      <w:r>
        <w:t>展示 V1.0 后端健康状态、运行模式和主要限制。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后端健康检查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19  后端健康检查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在浏览器访问后端健康检查地址，可确认服务是否运行和模型是否配置。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健康响应不包含真实 Key；截图中的端口和数据库文件名属于隔离截图环境。</w:t>
      </w:r>
    </w:p>
    <w:p>
      <w:r>
        <w:br w:type="page"/>
      </w:r>
    </w:p>
    <w:p>
      <w:pPr>
        <w:pStyle w:val="Heading1"/>
        <w:keepNext/>
      </w:pPr>
      <w:r>
        <w:t>20. 移动端导航</w:t>
      </w:r>
    </w:p>
    <w:p>
      <w:pPr>
        <w:keepNext/>
      </w:pPr>
      <w:r>
        <w:t>展示 390×844 视口下展开的响应式导航。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112654" cy="457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移动端导航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2654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Calibri" w:hAnsi="Calibri" w:eastAsia="微软雅黑"/>
          <w:color w:val="59646E"/>
          <w:sz w:val="18"/>
        </w:rPr>
        <w:t>图 20  移动端导航</w:t>
      </w:r>
    </w:p>
    <w:p>
      <w:pPr>
        <w:spacing w:before="60" w:after="100" w:line="300" w:lineRule="auto"/>
      </w:pPr>
      <w:r>
        <w:rPr>
          <w:rFonts w:ascii="Calibri" w:hAnsi="Calibri" w:eastAsia="微软雅黑"/>
          <w:b/>
          <w:color w:val="1F4D78"/>
          <w:sz w:val="21"/>
        </w:rPr>
        <w:t>操作说明：</w:t>
      </w:r>
      <w:r>
        <w:rPr>
          <w:rFonts w:ascii="Calibri" w:hAnsi="Calibri" w:eastAsia="微软雅黑"/>
          <w:color w:val="1E1E1E"/>
          <w:sz w:val="21"/>
        </w:rPr>
        <w:t>在移动端选择左上角菜单按钮，展开功能导航和个人设置。</w:t>
      </w:r>
    </w:p>
    <w:p>
      <w:pPr>
        <w:spacing w:before="60" w:after="100" w:line="300" w:lineRule="auto"/>
        <w:shd w:fill="EEF5EA"/>
        <w:ind w:left="120" w:right="120"/>
      </w:pPr>
      <w:r>
        <w:rPr>
          <w:rFonts w:ascii="Calibri" w:hAnsi="Calibri" w:eastAsia="微软雅黑"/>
          <w:b/>
          <w:color w:val="1F4D78"/>
          <w:sz w:val="21"/>
        </w:rPr>
        <w:t>一致性与安全说明：</w:t>
      </w:r>
      <w:r>
        <w:rPr>
          <w:rFonts w:ascii="Calibri" w:hAnsi="Calibri" w:eastAsia="微软雅黑"/>
          <w:color w:val="1E1E1E"/>
          <w:sz w:val="21"/>
        </w:rPr>
        <w:t>V1.0 支持局域网浏览器访问，但不等同于独立移动 App。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59646E"/>
        <w:sz w:val="18"/>
      </w:rPr>
      <w:t xml:space="preserve">第 </w:t>
    </w:r>
    <w:r>
      <w:rPr>
        <w:rFonts w:ascii="Calibri" w:hAnsi="Calibri" w:eastAsia="微软雅黑"/>
        <w:color w:val="59646E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微软雅黑"/>
        <w:color w:val="59646E"/>
        <w:sz w:val="18"/>
      </w:rPr>
      <w:t xml:space="preserve"> / </w:t>
    </w:r>
    <w:r>
      <w:rPr>
        <w:rFonts w:ascii="Calibri" w:hAnsi="Calibri" w:eastAsia="微软雅黑"/>
        <w:color w:val="59646E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微软雅黑"/>
        <w:color w:val="59646E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59646E"/>
        <w:sz w:val="18"/>
      </w:rPr>
      <w:t>正式功能基线：Git Tag v1.0.0 / Commit b952778 / Schema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微软雅黑"/>
        <w:color w:val="59646E"/>
        <w:sz w:val="17"/>
      </w:rPr>
      <w:t>云寻智慧农业AI工作台软件  |  操作说明书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微软雅黑"/>
      <w:b w:val="0"/>
      <w:color w:val="1919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40" w:lineRule="auto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59646E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云寻智慧农业AI工作台软件操作说明书 V1.0.0</dc:title>
  <dc:subject>软件著作权登记操作说明材料</dc:subject>
  <dc:creator/>
  <cp:keywords>云寻AI,V1.0.0,软件著作权,操作说明书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