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Mã sinh viên: N22DCCN142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Tên sinh viên: VŨ ĐÌNH KHOA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Identify PEAS of your rational agent.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Identify properties of your agent's task environment.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Ví dụ: Chơi cờ vua.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P: Thắng, số nước tối ưu để thắng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E: bàn cờ 8x8, đối thủ (máy hoặc người)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 di chuyển theo kiểu vật lý (cầm, nắm quân cờ), di chuyển bằng cách gửi tín hiệu để cho máy di chuyển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S: nhận diện bàn cờ, thu thập nước đi.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