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BD" w:rsidRDefault="009C0DBD" w:rsidP="009C0DBD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3C</w:t>
      </w:r>
      <w:r>
        <w:rPr>
          <w:rFonts w:eastAsiaTheme="minorEastAsia"/>
        </w:rPr>
        <w:t>标准</w:t>
      </w:r>
      <w:r>
        <w:rPr>
          <w:rFonts w:eastAsiaTheme="minorEastAsia" w:hint="eastAsia"/>
        </w:rPr>
        <w:t>下的</w:t>
      </w:r>
      <w:r>
        <w:rPr>
          <w:rFonts w:eastAsiaTheme="minorEastAsia"/>
        </w:rPr>
        <w:t>WAI</w:t>
      </w:r>
      <w:r>
        <w:rPr>
          <w:rFonts w:eastAsiaTheme="minorEastAsia"/>
        </w:rPr>
        <w:t>以及</w:t>
      </w:r>
      <w:bookmarkStart w:id="0" w:name="_GoBack"/>
      <w:bookmarkEnd w:id="0"/>
      <w:r>
        <w:rPr>
          <w:rFonts w:eastAsiaTheme="minorEastAsia" w:hint="eastAsia"/>
        </w:rPr>
        <w:t>W</w:t>
      </w:r>
      <w:r>
        <w:rPr>
          <w:rFonts w:eastAsiaTheme="minorEastAsia"/>
        </w:rPr>
        <w:t>CAG 2.0</w:t>
      </w:r>
    </w:p>
    <w:p w:rsidR="009C0DBD" w:rsidRPr="009C0DBD" w:rsidRDefault="00B46373" w:rsidP="009C0DBD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更高级别</w:t>
      </w:r>
      <w:r>
        <w:rPr>
          <w:rFonts w:eastAsiaTheme="minorEastAsia"/>
        </w:rPr>
        <w:t>的无障碍沟通</w:t>
      </w:r>
      <w:r>
        <w:rPr>
          <w:rFonts w:eastAsiaTheme="minorEastAsia" w:hint="eastAsia"/>
        </w:rPr>
        <w:t>区别于</w:t>
      </w:r>
      <w:r>
        <w:rPr>
          <w:rFonts w:eastAsiaTheme="minorEastAsia"/>
        </w:rPr>
        <w:t>前代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，不只是</w:t>
      </w:r>
      <w:r>
        <w:rPr>
          <w:rFonts w:eastAsiaTheme="minorEastAsia" w:hint="eastAsia"/>
        </w:rPr>
        <w:t>帮助</w:t>
      </w:r>
      <w:r>
        <w:rPr>
          <w:rFonts w:eastAsiaTheme="minorEastAsia"/>
        </w:rPr>
        <w:t>更多</w:t>
      </w:r>
      <w:r>
        <w:rPr>
          <w:rFonts w:eastAsiaTheme="minorEastAsia" w:hint="eastAsia"/>
        </w:rPr>
        <w:t>有特殊需求</w:t>
      </w:r>
      <w:r>
        <w:rPr>
          <w:rFonts w:eastAsiaTheme="minorEastAsia"/>
        </w:rPr>
        <w:t>的群</w:t>
      </w:r>
      <w:r>
        <w:rPr>
          <w:rFonts w:eastAsiaTheme="minorEastAsia" w:hint="eastAsia"/>
        </w:rPr>
        <w:t>体</w:t>
      </w:r>
      <w:r>
        <w:rPr>
          <w:rFonts w:eastAsiaTheme="minorEastAsia"/>
        </w:rPr>
        <w:t>，而是满足所有人的特殊需求。</w:t>
      </w:r>
      <w:r>
        <w:rPr>
          <w:rFonts w:eastAsiaTheme="minorEastAsia" w:hint="eastAsia"/>
        </w:rPr>
        <w:t>（</w:t>
      </w:r>
      <w:r>
        <w:rPr>
          <w:rFonts w:eastAsiaTheme="minorEastAsia"/>
        </w:rPr>
        <w:t>用容错的思想来思考</w:t>
      </w:r>
      <w:r w:rsidR="009C0DBD">
        <w:rPr>
          <w:rFonts w:eastAsiaTheme="minorEastAsia" w:hint="eastAsia"/>
        </w:rPr>
        <w:t>无障碍</w:t>
      </w:r>
      <w:r w:rsidR="009C0DBD">
        <w:rPr>
          <w:rFonts w:eastAsiaTheme="minorEastAsia"/>
        </w:rPr>
        <w:t>沟通设计</w:t>
      </w:r>
      <w:r w:rsidR="009C0DBD">
        <w:rPr>
          <w:rFonts w:eastAsiaTheme="minorEastAsia" w:hint="eastAsia"/>
        </w:rPr>
        <w:t>：</w:t>
      </w:r>
      <w:r w:rsidR="009C0DBD">
        <w:rPr>
          <w:rFonts w:eastAsiaTheme="minorEastAsia" w:hint="eastAsia"/>
        </w:rPr>
        <w:t>1</w:t>
      </w:r>
      <w:r w:rsidR="009C0DBD">
        <w:rPr>
          <w:rFonts w:eastAsiaTheme="minorEastAsia"/>
        </w:rPr>
        <w:t>.Javascript</w:t>
      </w:r>
      <w:r w:rsidR="009C0DBD">
        <w:rPr>
          <w:rFonts w:eastAsiaTheme="minorEastAsia" w:hint="eastAsia"/>
        </w:rPr>
        <w:t>的</w:t>
      </w:r>
      <w:r w:rsidR="009C0DBD">
        <w:rPr>
          <w:rFonts w:eastAsiaTheme="minorEastAsia"/>
        </w:rPr>
        <w:t>使用浏览器兼容性问题，</w:t>
      </w:r>
      <w:r w:rsidR="009C0DBD">
        <w:rPr>
          <w:rFonts w:eastAsiaTheme="minorEastAsia"/>
        </w:rPr>
        <w:t>2.</w:t>
      </w:r>
      <w:r w:rsidR="009C0DBD">
        <w:rPr>
          <w:rFonts w:eastAsiaTheme="minorEastAsia"/>
        </w:rPr>
        <w:t>视频音频解释器和格式问题）</w:t>
      </w:r>
    </w:p>
    <w:p w:rsidR="00010BA3" w:rsidRPr="00010BA3" w:rsidRDefault="009C0DBD" w:rsidP="00D20AA8">
      <w:pPr>
        <w:pStyle w:val="a3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 w:rsidRPr="00335387">
        <w:rPr>
          <w:rFonts w:eastAsiaTheme="minorEastAsia"/>
          <w:lang w:val="es-ES"/>
        </w:rPr>
        <w:t xml:space="preserve">&lt;audio&gt; </w:t>
      </w:r>
      <w:r>
        <w:rPr>
          <w:rFonts w:eastAsiaTheme="minorEastAsia" w:hint="eastAsia"/>
        </w:rPr>
        <w:t>及</w:t>
      </w:r>
      <w:r w:rsidRPr="00335387">
        <w:rPr>
          <w:rFonts w:eastAsiaTheme="minorEastAsia" w:hint="eastAsia"/>
          <w:lang w:val="es-ES"/>
        </w:rPr>
        <w:t xml:space="preserve"> </w:t>
      </w:r>
      <w:r w:rsidRPr="00335387">
        <w:rPr>
          <w:rFonts w:eastAsiaTheme="minorEastAsia"/>
          <w:lang w:val="es-ES"/>
        </w:rPr>
        <w:t xml:space="preserve">&lt;video&gt; </w:t>
      </w:r>
      <w:r>
        <w:rPr>
          <w:rFonts w:eastAsiaTheme="minorEastAsia"/>
        </w:rPr>
        <w:t>作为</w:t>
      </w:r>
      <w:r w:rsidRPr="00335387">
        <w:rPr>
          <w:rFonts w:eastAsiaTheme="minorEastAsia"/>
          <w:lang w:val="es-ES"/>
        </w:rPr>
        <w:t>HTML5</w:t>
      </w:r>
      <w:r>
        <w:rPr>
          <w:rFonts w:eastAsiaTheme="minorEastAsia"/>
        </w:rPr>
        <w:t>的亮点</w:t>
      </w:r>
      <w:r w:rsidRPr="00335387">
        <w:rPr>
          <w:rFonts w:eastAsiaTheme="minorEastAsia"/>
          <w:lang w:val="es-ES"/>
        </w:rPr>
        <w:t>（</w:t>
      </w:r>
      <w:r w:rsidRPr="00335387">
        <w:rPr>
          <w:rFonts w:eastAsiaTheme="minorEastAsia"/>
          <w:lang w:val="es-ES"/>
        </w:rPr>
        <w:t>1</w:t>
      </w:r>
      <w:r w:rsidRPr="00335387">
        <w:rPr>
          <w:rFonts w:eastAsiaTheme="minorEastAsia" w:hint="eastAsia"/>
          <w:lang w:val="es-ES"/>
        </w:rPr>
        <w:t>.</w:t>
      </w:r>
      <w:r>
        <w:rPr>
          <w:rFonts w:eastAsiaTheme="minorEastAsia"/>
        </w:rPr>
        <w:t>承接</w:t>
      </w:r>
      <w:r w:rsidRPr="00335387">
        <w:rPr>
          <w:rFonts w:eastAsiaTheme="minorEastAsia"/>
          <w:lang w:val="es-ES"/>
        </w:rPr>
        <w:t>2.2</w:t>
      </w:r>
      <w:r w:rsidRPr="00335387">
        <w:rPr>
          <w:rFonts w:eastAsiaTheme="minorEastAsia"/>
          <w:lang w:val="es-ES"/>
        </w:rPr>
        <w:t>，</w:t>
      </w:r>
      <w:r w:rsidRPr="00335387">
        <w:rPr>
          <w:rFonts w:eastAsiaTheme="minorEastAsia"/>
          <w:lang w:val="es-ES"/>
        </w:rPr>
        <w:t>2.</w:t>
      </w:r>
      <w:r>
        <w:rPr>
          <w:rFonts w:eastAsiaTheme="minorEastAsia"/>
        </w:rPr>
        <w:t>数据传输方面</w:t>
      </w:r>
      <w:r w:rsidR="00335387" w:rsidRPr="00335387">
        <w:rPr>
          <w:rFonts w:eastAsiaTheme="minorEastAsia" w:hint="eastAsia"/>
          <w:lang w:val="es-ES"/>
        </w:rPr>
        <w:t>{</w:t>
      </w:r>
      <w:proofErr w:type="spellStart"/>
      <w:r w:rsidR="00335387" w:rsidRPr="00335387">
        <w:rPr>
          <w:rFonts w:eastAsiaTheme="minorEastAsia"/>
          <w:lang w:val="es-ES"/>
        </w:rPr>
        <w:t>xmlhttprequest</w:t>
      </w:r>
      <w:proofErr w:type="spellEnd"/>
      <w:r w:rsidR="00335387" w:rsidRPr="00335387">
        <w:rPr>
          <w:rFonts w:eastAsiaTheme="minorEastAsia"/>
          <w:lang w:val="es-ES"/>
        </w:rPr>
        <w:t>()</w:t>
      </w:r>
      <w:r w:rsidR="00335387">
        <w:rPr>
          <w:rFonts w:eastAsiaTheme="minorEastAsia" w:hint="eastAsia"/>
        </w:rPr>
        <w:t>及</w:t>
      </w:r>
      <w:proofErr w:type="spellStart"/>
      <w:r w:rsidR="00335387" w:rsidRPr="00335387">
        <w:rPr>
          <w:rFonts w:eastAsiaTheme="minorEastAsia" w:hint="eastAsia"/>
          <w:lang w:val="es-ES"/>
        </w:rPr>
        <w:t>websocket</w:t>
      </w:r>
      <w:proofErr w:type="spellEnd"/>
      <w:r w:rsidR="00335387">
        <w:rPr>
          <w:rFonts w:eastAsiaTheme="minorEastAsia"/>
          <w:lang w:val="es-ES"/>
        </w:rPr>
        <w:t>}</w:t>
      </w:r>
      <w:r w:rsidRPr="00335387">
        <w:rPr>
          <w:rFonts w:eastAsiaTheme="minorEastAsia"/>
          <w:lang w:val="es-ES"/>
        </w:rPr>
        <w:t>）</w:t>
      </w:r>
      <w:r>
        <w:rPr>
          <w:rFonts w:eastAsiaTheme="minorEastAsia"/>
        </w:rPr>
        <w:t>。</w:t>
      </w:r>
    </w:p>
    <w:p w:rsidR="005C7DB7" w:rsidRPr="00010BA3" w:rsidRDefault="00010BA3" w:rsidP="006C1B18">
      <w:pPr>
        <w:pStyle w:val="2"/>
        <w:rPr>
          <w:lang w:val="es-ES"/>
        </w:rPr>
      </w:pPr>
      <w:r>
        <w:rPr>
          <w:lang w:val="es-ES"/>
        </w:rPr>
        <w:t>La a</w:t>
      </w:r>
      <w:r w:rsidRPr="00010BA3">
        <w:rPr>
          <w:rFonts w:hint="eastAsia"/>
          <w:lang w:val="es-ES"/>
        </w:rPr>
        <w:t xml:space="preserve">ccesibilidad </w:t>
      </w:r>
      <w:r w:rsidR="008350FC">
        <w:rPr>
          <w:lang w:val="es-ES"/>
        </w:rPr>
        <w:t>web bajo</w:t>
      </w:r>
      <w:r>
        <w:rPr>
          <w:lang w:val="es-ES"/>
        </w:rPr>
        <w:t xml:space="preserve"> las P</w:t>
      </w:r>
      <w:r w:rsidRPr="00010BA3">
        <w:rPr>
          <w:lang w:val="es-ES"/>
        </w:rPr>
        <w:t>autas de Accesibilidad de Contenido Web</w:t>
      </w:r>
      <w:r w:rsidR="00595F6F">
        <w:rPr>
          <w:lang w:val="es-ES"/>
        </w:rPr>
        <w:t xml:space="preserve"> (WCAG</w:t>
      </w:r>
      <w:r>
        <w:rPr>
          <w:lang w:val="es-ES"/>
        </w:rPr>
        <w:t>)</w:t>
      </w:r>
    </w:p>
    <w:p w:rsidR="00D20AA8" w:rsidRDefault="00B53813" w:rsidP="006C1B18">
      <w:pPr>
        <w:pStyle w:val="3"/>
        <w:rPr>
          <w:lang w:val="es-ES"/>
        </w:rPr>
      </w:pPr>
      <w:r>
        <w:rPr>
          <w:rFonts w:hint="eastAsia"/>
          <w:lang w:val="es-ES"/>
        </w:rPr>
        <w:t xml:space="preserve">Un caso </w:t>
      </w:r>
      <w:r>
        <w:rPr>
          <w:lang w:val="es-ES"/>
        </w:rPr>
        <w:t xml:space="preserve">notable </w:t>
      </w:r>
      <w:r w:rsidR="00010BA3">
        <w:rPr>
          <w:rFonts w:hint="eastAsia"/>
          <w:lang w:val="es-ES"/>
        </w:rPr>
        <w:t>para un mejor entendimiento a</w:t>
      </w:r>
      <w:r>
        <w:rPr>
          <w:lang w:val="es-ES"/>
        </w:rPr>
        <w:t xml:space="preserve"> la accesibilidad web </w:t>
      </w:r>
    </w:p>
    <w:p w:rsidR="008350FC" w:rsidRDefault="005C7DB7" w:rsidP="00D20AA8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Emp</w:t>
      </w:r>
      <w:r>
        <w:rPr>
          <w:rFonts w:eastAsiaTheme="minorEastAsia"/>
          <w:lang w:val="es-ES"/>
        </w:rPr>
        <w:t>ezamos</w:t>
      </w:r>
      <w:r>
        <w:rPr>
          <w:rFonts w:eastAsiaTheme="minorEastAsia" w:hint="eastAsia"/>
          <w:lang w:val="es-ES"/>
        </w:rPr>
        <w:t xml:space="preserve"> con un caso </w:t>
      </w:r>
      <w:r>
        <w:rPr>
          <w:rFonts w:eastAsiaTheme="minorEastAsia"/>
          <w:lang w:val="es-ES"/>
        </w:rPr>
        <w:t xml:space="preserve">legal </w:t>
      </w:r>
      <w:r w:rsidR="006C1B18">
        <w:rPr>
          <w:rFonts w:eastAsiaTheme="minorEastAsia"/>
          <w:lang w:val="es-ES"/>
        </w:rPr>
        <w:t>en Australia, un caso muy</w:t>
      </w:r>
      <w:r w:rsidR="008350FC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conocido </w:t>
      </w:r>
      <w:r>
        <w:rPr>
          <w:rFonts w:eastAsiaTheme="minorEastAsia" w:hint="eastAsia"/>
          <w:lang w:val="es-ES"/>
        </w:rPr>
        <w:t xml:space="preserve">en </w:t>
      </w:r>
      <w:r>
        <w:rPr>
          <w:rFonts w:eastAsiaTheme="minorEastAsia"/>
          <w:lang w:val="es-ES"/>
        </w:rPr>
        <w:t>relación</w:t>
      </w:r>
      <w:r>
        <w:rPr>
          <w:rFonts w:eastAsiaTheme="minorEastAsia" w:hint="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con la accesibilidad web, la referencia de dicho caso se puede encontrar en Wikipedia: </w:t>
      </w:r>
      <w:proofErr w:type="spellStart"/>
      <w:r w:rsidRPr="005C7DB7">
        <w:rPr>
          <w:lang w:val="es-ES"/>
        </w:rPr>
        <w:t>Maguire</w:t>
      </w:r>
      <w:proofErr w:type="spellEnd"/>
      <w:r w:rsidRPr="005C7DB7">
        <w:rPr>
          <w:lang w:val="es-ES"/>
        </w:rPr>
        <w:t xml:space="preserve"> v </w:t>
      </w:r>
      <w:proofErr w:type="spellStart"/>
      <w:r w:rsidRPr="005C7DB7">
        <w:rPr>
          <w:lang w:val="es-ES"/>
        </w:rPr>
        <w:t>Sydney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Organising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Committee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for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the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Olympic</w:t>
      </w:r>
      <w:proofErr w:type="spellEnd"/>
      <w:r w:rsidRPr="005C7DB7">
        <w:rPr>
          <w:lang w:val="es-ES"/>
        </w:rPr>
        <w:t xml:space="preserve"> </w:t>
      </w:r>
      <w:proofErr w:type="spellStart"/>
      <w:r w:rsidRPr="005C7DB7">
        <w:rPr>
          <w:lang w:val="es-ES"/>
        </w:rPr>
        <w:t>Games</w:t>
      </w:r>
      <w:proofErr w:type="spellEnd"/>
      <w:r>
        <w:rPr>
          <w:lang w:val="es-ES"/>
        </w:rPr>
        <w:t xml:space="preserve"> (SOCOG)</w:t>
      </w:r>
      <w:r>
        <w:rPr>
          <w:rStyle w:val="a5"/>
          <w:lang w:val="es-ES"/>
        </w:rPr>
        <w:footnoteReference w:id="1"/>
      </w:r>
      <w:r>
        <w:rPr>
          <w:lang w:val="es-ES"/>
        </w:rPr>
        <w:t xml:space="preserve">. </w:t>
      </w:r>
    </w:p>
    <w:p w:rsidR="008350FC" w:rsidRDefault="008350FC" w:rsidP="00D20AA8">
      <w:pPr>
        <w:rPr>
          <w:lang w:val="es-ES"/>
        </w:rPr>
      </w:pPr>
      <w:proofErr w:type="spellStart"/>
      <w:r>
        <w:rPr>
          <w:rFonts w:eastAsiaTheme="minorEastAsia"/>
          <w:lang w:val="es-ES"/>
        </w:rPr>
        <w:t>Maguire</w:t>
      </w:r>
      <w:proofErr w:type="spellEnd"/>
      <w:r w:rsidR="00ED26A8">
        <w:rPr>
          <w:rFonts w:eastAsiaTheme="minorEastAsia"/>
          <w:lang w:val="es-ES"/>
        </w:rPr>
        <w:t>, propi</w:t>
      </w:r>
      <w:r w:rsidR="006C1B18">
        <w:rPr>
          <w:rFonts w:eastAsiaTheme="minorEastAsia"/>
          <w:lang w:val="es-ES"/>
        </w:rPr>
        <w:t>etario de una pequeña empresa en</w:t>
      </w:r>
      <w:r w:rsidR="00ED26A8">
        <w:rPr>
          <w:rFonts w:eastAsiaTheme="minorEastAsia"/>
          <w:lang w:val="es-ES"/>
        </w:rPr>
        <w:t xml:space="preserve"> </w:t>
      </w:r>
      <w:proofErr w:type="spellStart"/>
      <w:r w:rsidR="00ED26A8" w:rsidRPr="00ED26A8">
        <w:rPr>
          <w:rFonts w:eastAsiaTheme="minorEastAsia"/>
          <w:lang w:val="es-ES"/>
        </w:rPr>
        <w:t>Baulkham</w:t>
      </w:r>
      <w:proofErr w:type="spellEnd"/>
      <w:r w:rsidR="00ED26A8" w:rsidRPr="00ED26A8">
        <w:rPr>
          <w:rFonts w:eastAsiaTheme="minorEastAsia"/>
          <w:lang w:val="es-ES"/>
        </w:rPr>
        <w:t xml:space="preserve"> </w:t>
      </w:r>
      <w:proofErr w:type="spellStart"/>
      <w:r w:rsidR="00ED26A8" w:rsidRPr="00ED26A8">
        <w:rPr>
          <w:rFonts w:eastAsiaTheme="minorEastAsia"/>
          <w:lang w:val="es-ES"/>
        </w:rPr>
        <w:t>Hills</w:t>
      </w:r>
      <w:proofErr w:type="spellEnd"/>
      <w:r w:rsidR="00ED26A8" w:rsidRPr="00ED26A8">
        <w:rPr>
          <w:rFonts w:eastAsiaTheme="minorEastAsia"/>
          <w:lang w:val="es-ES"/>
        </w:rPr>
        <w:t xml:space="preserve">, New South </w:t>
      </w:r>
      <w:proofErr w:type="spellStart"/>
      <w:r w:rsidR="00ED26A8" w:rsidRPr="00ED26A8">
        <w:rPr>
          <w:rFonts w:eastAsiaTheme="minorEastAsia"/>
          <w:lang w:val="es-ES"/>
        </w:rPr>
        <w:t>Wales</w:t>
      </w:r>
      <w:proofErr w:type="spellEnd"/>
      <w:r w:rsidR="00ED26A8" w:rsidRPr="00ED26A8">
        <w:rPr>
          <w:rFonts w:eastAsiaTheme="minorEastAsia"/>
          <w:lang w:val="es-ES"/>
        </w:rPr>
        <w:t>,</w:t>
      </w:r>
      <w:r w:rsidR="00ED26A8">
        <w:rPr>
          <w:rFonts w:eastAsiaTheme="minorEastAsia"/>
          <w:lang w:val="es-ES"/>
        </w:rPr>
        <w:t xml:space="preserve"> Australia, pero más bien descrito como un usuario normal de la web, </w:t>
      </w:r>
      <w:r w:rsidR="006C1B18">
        <w:rPr>
          <w:rFonts w:eastAsiaTheme="minorEastAsia"/>
          <w:lang w:val="es-ES"/>
        </w:rPr>
        <w:t>excepto el hecho</w:t>
      </w:r>
      <w:r w:rsidR="00ED26A8">
        <w:rPr>
          <w:rFonts w:eastAsiaTheme="minorEastAsia"/>
          <w:lang w:val="es-ES"/>
        </w:rPr>
        <w:t xml:space="preserve"> de que él es </w:t>
      </w:r>
      <w:r w:rsidR="00ED26A8">
        <w:rPr>
          <w:lang w:val="es-ES"/>
        </w:rPr>
        <w:t>totalmente ciego y s</w:t>
      </w:r>
      <w:r w:rsidR="00171278">
        <w:rPr>
          <w:lang w:val="es-ES"/>
        </w:rPr>
        <w:t xml:space="preserve">in vista o percepción de la luz </w:t>
      </w:r>
      <w:r w:rsidR="00ED26A8">
        <w:rPr>
          <w:lang w:val="es-ES"/>
        </w:rPr>
        <w:t xml:space="preserve">quién accede a la web mediante una pantalla braille renovable. </w:t>
      </w:r>
    </w:p>
    <w:p w:rsidR="006C1B18" w:rsidRDefault="006C1B18" w:rsidP="00D20AA8">
      <w:pPr>
        <w:rPr>
          <w:lang w:val="es-ES"/>
        </w:rPr>
      </w:pPr>
      <w:r>
        <w:rPr>
          <w:lang w:val="es-ES"/>
        </w:rPr>
        <w:t xml:space="preserve">El 31 de mayo de 1999, </w:t>
      </w:r>
      <w:proofErr w:type="spellStart"/>
      <w:r>
        <w:rPr>
          <w:lang w:val="es-ES"/>
        </w:rPr>
        <w:t>Maguire</w:t>
      </w:r>
      <w:proofErr w:type="spellEnd"/>
      <w:r>
        <w:rPr>
          <w:lang w:val="es-ES"/>
        </w:rPr>
        <w:t xml:space="preserve"> estaba navegando en la web para comprar unas entradas de los Juegos Olímpicos de </w:t>
      </w:r>
      <w:proofErr w:type="spellStart"/>
      <w:r>
        <w:rPr>
          <w:lang w:val="es-ES"/>
        </w:rPr>
        <w:t>Sydn</w:t>
      </w:r>
      <w:r w:rsidR="00974261">
        <w:rPr>
          <w:lang w:val="es-ES"/>
        </w:rPr>
        <w:t>ey</w:t>
      </w:r>
      <w:proofErr w:type="spellEnd"/>
      <w:r w:rsidR="00974261">
        <w:rPr>
          <w:lang w:val="es-ES"/>
        </w:rPr>
        <w:t xml:space="preserve"> para él y su familia. En ese </w:t>
      </w:r>
      <w:r>
        <w:rPr>
          <w:lang w:val="es-ES"/>
        </w:rPr>
        <w:t xml:space="preserve">momento, las entradas solo estaban disponibles a través de un formulario de </w:t>
      </w:r>
      <w:r w:rsidR="00644F9C">
        <w:rPr>
          <w:lang w:val="es-ES"/>
        </w:rPr>
        <w:lastRenderedPageBreak/>
        <w:t>solicitud en un ticket de reservación</w:t>
      </w:r>
      <w:r>
        <w:rPr>
          <w:lang w:val="es-ES"/>
        </w:rPr>
        <w:t xml:space="preserve"> emitido por el Comité Organizador de los Juegos Olímpicos </w:t>
      </w:r>
      <w:r w:rsidR="00CE47BE">
        <w:rPr>
          <w:lang w:val="es-ES"/>
        </w:rPr>
        <w:t xml:space="preserve">de </w:t>
      </w:r>
      <w:proofErr w:type="spellStart"/>
      <w:r w:rsidR="00CE47BE">
        <w:rPr>
          <w:lang w:val="es-ES"/>
        </w:rPr>
        <w:t>Sydney</w:t>
      </w:r>
      <w:proofErr w:type="spellEnd"/>
      <w:r w:rsidR="00171278">
        <w:rPr>
          <w:lang w:val="es-ES"/>
        </w:rPr>
        <w:t xml:space="preserve"> </w:t>
      </w:r>
      <w:r>
        <w:rPr>
          <w:lang w:val="es-ES"/>
        </w:rPr>
        <w:t>(SOCOG).</w:t>
      </w:r>
    </w:p>
    <w:p w:rsidR="00644F9C" w:rsidRPr="00644F9C" w:rsidRDefault="006C1B18" w:rsidP="00644F9C">
      <w:pPr>
        <w:rPr>
          <w:rFonts w:eastAsiaTheme="minorEastAsia"/>
          <w:lang w:val="es-ES"/>
        </w:rPr>
      </w:pPr>
      <w:r>
        <w:rPr>
          <w:lang w:val="es-ES"/>
        </w:rPr>
        <w:t>I</w:t>
      </w:r>
      <w:r w:rsidR="00644F9C">
        <w:rPr>
          <w:lang w:val="es-ES"/>
        </w:rPr>
        <w:t xml:space="preserve">nicialmente, </w:t>
      </w:r>
      <w:proofErr w:type="spellStart"/>
      <w:r w:rsidR="00644F9C">
        <w:rPr>
          <w:lang w:val="es-ES"/>
        </w:rPr>
        <w:t>Maguire</w:t>
      </w:r>
      <w:proofErr w:type="spellEnd"/>
      <w:r w:rsidR="00644F9C">
        <w:rPr>
          <w:lang w:val="es-ES"/>
        </w:rPr>
        <w:t xml:space="preserve"> intentó pedir a</w:t>
      </w:r>
      <w:r>
        <w:rPr>
          <w:lang w:val="es-ES"/>
        </w:rPr>
        <w:t xml:space="preserve"> su hermana </w:t>
      </w:r>
      <w:r w:rsidR="00644F9C">
        <w:rPr>
          <w:lang w:val="es-ES"/>
        </w:rPr>
        <w:t xml:space="preserve">que </w:t>
      </w:r>
      <w:r w:rsidR="00171278">
        <w:rPr>
          <w:lang w:val="es-ES"/>
        </w:rPr>
        <w:t>le leyera el ticket</w:t>
      </w:r>
      <w:r>
        <w:rPr>
          <w:lang w:val="es-ES"/>
        </w:rPr>
        <w:t xml:space="preserve"> en voz alta, pero el nivel de detalle y las referencias cruzadas requeridas en este proceso fue oneroso y el intento fue abandonado después de varias horas. </w:t>
      </w:r>
      <w:proofErr w:type="spellStart"/>
      <w:r>
        <w:rPr>
          <w:lang w:val="es-ES"/>
        </w:rPr>
        <w:t>Maguire</w:t>
      </w:r>
      <w:proofErr w:type="spellEnd"/>
      <w:r>
        <w:rPr>
          <w:lang w:val="es-ES"/>
        </w:rPr>
        <w:t xml:space="preserve"> luego preguntó sobre la obtención de u</w:t>
      </w:r>
      <w:r w:rsidR="00644F9C">
        <w:rPr>
          <w:lang w:val="es-ES"/>
        </w:rPr>
        <w:t>na versión en braille de la reserva</w:t>
      </w:r>
      <w:r>
        <w:rPr>
          <w:lang w:val="es-ES"/>
        </w:rPr>
        <w:t xml:space="preserve">. El SOCOG indicó que se publicaría una versión en braille, pero esto no ocurrió. El 7 de junio de 1999, el SOCOG se puso en contacto con </w:t>
      </w:r>
      <w:proofErr w:type="spellStart"/>
      <w:r>
        <w:rPr>
          <w:lang w:val="es-ES"/>
        </w:rPr>
        <w:t>Magu</w:t>
      </w:r>
      <w:r w:rsidR="00644F9C">
        <w:rPr>
          <w:lang w:val="es-ES"/>
        </w:rPr>
        <w:t>ire</w:t>
      </w:r>
      <w:proofErr w:type="spellEnd"/>
      <w:r w:rsidR="00644F9C">
        <w:rPr>
          <w:lang w:val="es-ES"/>
        </w:rPr>
        <w:t xml:space="preserve"> para informarle que la reserva</w:t>
      </w:r>
      <w:r>
        <w:rPr>
          <w:lang w:val="es-ES"/>
        </w:rPr>
        <w:t xml:space="preserve"> no se imprim</w:t>
      </w:r>
      <w:r w:rsidR="00644F9C">
        <w:rPr>
          <w:lang w:val="es-ES"/>
        </w:rPr>
        <w:t>iría en braille, ya que el coste</w:t>
      </w:r>
      <w:r>
        <w:rPr>
          <w:lang w:val="es-ES"/>
        </w:rPr>
        <w:t xml:space="preserve"> se consideraba</w:t>
      </w:r>
      <w:r w:rsidR="00644F9C">
        <w:rPr>
          <w:lang w:val="es-ES"/>
        </w:rPr>
        <w:t xml:space="preserve"> demasiado alto dado la probabilidad de un</w:t>
      </w:r>
      <w:r>
        <w:rPr>
          <w:lang w:val="es-ES"/>
        </w:rPr>
        <w:t xml:space="preserve"> pequeño número de usuarios alfabetizados en braille.</w:t>
      </w:r>
    </w:p>
    <w:p w:rsidR="00644F9C" w:rsidRDefault="00CE47BE" w:rsidP="00644F9C">
      <w:pPr>
        <w:rPr>
          <w:lang w:val="es-ES"/>
        </w:rPr>
      </w:pPr>
      <w:r>
        <w:rPr>
          <w:lang w:val="es-ES"/>
        </w:rPr>
        <w:t>Después</w:t>
      </w:r>
      <w:r w:rsidR="00644F9C" w:rsidRPr="00644F9C">
        <w:rPr>
          <w:lang w:val="es-ES"/>
        </w:rPr>
        <w:t xml:space="preserve">, </w:t>
      </w:r>
      <w:proofErr w:type="spellStart"/>
      <w:r w:rsidR="00644F9C" w:rsidRPr="00644F9C">
        <w:rPr>
          <w:lang w:val="es-ES"/>
        </w:rPr>
        <w:t>Maguire</w:t>
      </w:r>
      <w:proofErr w:type="spellEnd"/>
      <w:r w:rsidR="00644F9C" w:rsidRPr="00644F9C">
        <w:rPr>
          <w:lang w:val="es-ES"/>
        </w:rPr>
        <w:t xml:space="preserve"> presentó una queja ante la Comisión de Derechos Humanos e Igualdad de Oportunidades (HREOC), alegando que el Comité Organizador de los Juegos Olímpicos de </w:t>
      </w:r>
      <w:proofErr w:type="spellStart"/>
      <w:r w:rsidR="00644F9C" w:rsidRPr="00644F9C">
        <w:rPr>
          <w:lang w:val="es-ES"/>
        </w:rPr>
        <w:t>Sydney</w:t>
      </w:r>
      <w:proofErr w:type="spellEnd"/>
      <w:r w:rsidR="00644F9C" w:rsidRPr="00644F9C">
        <w:rPr>
          <w:lang w:val="es-ES"/>
        </w:rPr>
        <w:t xml:space="preserve"> (SOCOG) lo había discriminado como persona discapacitada, en contravención de la Ley de Discrimin</w:t>
      </w:r>
      <w:r>
        <w:rPr>
          <w:lang w:val="es-ES"/>
        </w:rPr>
        <w:t>ación por Discapacidad Acta 1992</w:t>
      </w:r>
      <w:r>
        <w:rPr>
          <w:rStyle w:val="a5"/>
          <w:lang w:val="es-ES"/>
        </w:rPr>
        <w:footnoteReference w:id="2"/>
      </w:r>
      <w:r>
        <w:rPr>
          <w:lang w:val="es-ES"/>
        </w:rPr>
        <w:t xml:space="preserve"> </w:t>
      </w:r>
      <w:r w:rsidR="00644F9C" w:rsidRPr="00644F9C">
        <w:rPr>
          <w:lang w:val="es-ES"/>
        </w:rPr>
        <w:t>en tres aspectos: la imposibilidad de proporcionar copias en braille de la información requerida para ordenar las en</w:t>
      </w:r>
      <w:r>
        <w:rPr>
          <w:lang w:val="es-ES"/>
        </w:rPr>
        <w:t xml:space="preserve">tradas de </w:t>
      </w:r>
      <w:r w:rsidR="00644F9C" w:rsidRPr="00644F9C">
        <w:rPr>
          <w:lang w:val="es-ES"/>
        </w:rPr>
        <w:t xml:space="preserve">los Juegos Olímpicos; la imposibilidad de proporcionar copias en braille del programa de </w:t>
      </w:r>
      <w:proofErr w:type="spellStart"/>
      <w:r w:rsidR="00644F9C" w:rsidRPr="00644F9C">
        <w:rPr>
          <w:lang w:val="es-ES"/>
        </w:rPr>
        <w:t>souvenirs</w:t>
      </w:r>
      <w:proofErr w:type="spellEnd"/>
      <w:r w:rsidR="00644F9C" w:rsidRPr="00644F9C">
        <w:rPr>
          <w:lang w:val="es-ES"/>
        </w:rPr>
        <w:t xml:space="preserve"> de los Juegos Olímpicos; y la imposibilidad de proporcionar un sitio web que fuera accesible para </w:t>
      </w:r>
      <w:proofErr w:type="spellStart"/>
      <w:r w:rsidR="00644F9C" w:rsidRPr="00644F9C">
        <w:rPr>
          <w:lang w:val="es-ES"/>
        </w:rPr>
        <w:t>Maguire</w:t>
      </w:r>
      <w:proofErr w:type="spellEnd"/>
      <w:r>
        <w:rPr>
          <w:lang w:val="es-ES"/>
        </w:rPr>
        <w:t>.</w:t>
      </w:r>
    </w:p>
    <w:p w:rsidR="00CE47BE" w:rsidRDefault="00BB394B" w:rsidP="00644F9C">
      <w:pPr>
        <w:rPr>
          <w:lang w:val="es-ES"/>
        </w:rPr>
      </w:pPr>
      <w:r>
        <w:rPr>
          <w:lang w:val="es-ES"/>
        </w:rPr>
        <w:t>Las demandas</w:t>
      </w:r>
      <w:r w:rsidR="00CE47BE">
        <w:rPr>
          <w:lang w:val="es-ES"/>
        </w:rPr>
        <w:t xml:space="preserve"> específicas de la accesibilidad web son los siguientes:</w:t>
      </w:r>
    </w:p>
    <w:p w:rsidR="00BB394B" w:rsidRDefault="00CE47BE" w:rsidP="00CE47BE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t xml:space="preserve">Provisión de texto alternativo </w:t>
      </w:r>
      <w:r w:rsidR="00BB394B">
        <w:rPr>
          <w:lang w:val="es-ES"/>
        </w:rPr>
        <w:t>("</w:t>
      </w:r>
      <w:proofErr w:type="spellStart"/>
      <w:r w:rsidR="00BB394B">
        <w:rPr>
          <w:lang w:val="es-ES"/>
        </w:rPr>
        <w:t>alt</w:t>
      </w:r>
      <w:proofErr w:type="spellEnd"/>
      <w:r w:rsidR="00BB394B">
        <w:rPr>
          <w:lang w:val="es-ES"/>
        </w:rPr>
        <w:t xml:space="preserve">") </w:t>
      </w:r>
      <w:r>
        <w:rPr>
          <w:lang w:val="es-ES"/>
        </w:rPr>
        <w:t xml:space="preserve">en </w:t>
      </w:r>
      <w:r w:rsidR="00BB394B">
        <w:rPr>
          <w:lang w:val="es-ES"/>
        </w:rPr>
        <w:t xml:space="preserve">las </w:t>
      </w:r>
      <w:r>
        <w:rPr>
          <w:lang w:val="es-ES"/>
        </w:rPr>
        <w:t>imágenes</w:t>
      </w:r>
      <w:r w:rsidR="00BB394B">
        <w:rPr>
          <w:lang w:val="es-ES"/>
        </w:rPr>
        <w:t>.</w:t>
      </w:r>
    </w:p>
    <w:p w:rsidR="00BB394B" w:rsidRDefault="00BB394B" w:rsidP="00BB394B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t>El acceso desde la página de P</w:t>
      </w:r>
      <w:r w:rsidRPr="00BB394B">
        <w:rPr>
          <w:lang w:val="es-ES"/>
        </w:rPr>
        <w:t>rogramaci</w:t>
      </w:r>
      <w:r>
        <w:rPr>
          <w:lang w:val="es-ES"/>
        </w:rPr>
        <w:t xml:space="preserve">ón al Índice de deportes debe estará </w:t>
      </w:r>
      <w:r w:rsidRPr="00BB394B">
        <w:rPr>
          <w:lang w:val="es-ES"/>
        </w:rPr>
        <w:t>disponible</w:t>
      </w:r>
      <w:r>
        <w:rPr>
          <w:lang w:val="es-ES"/>
        </w:rPr>
        <w:t>.</w:t>
      </w:r>
    </w:p>
    <w:p w:rsidR="00CE47BE" w:rsidRDefault="00BB394B" w:rsidP="00BB394B">
      <w:pPr>
        <w:pStyle w:val="a3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lastRenderedPageBreak/>
        <w:t>El acceso a las Tablas de Resultados en el sitio web estará disponible dur</w:t>
      </w:r>
      <w:r w:rsidR="00986D2A">
        <w:rPr>
          <w:lang w:val="es-ES"/>
        </w:rPr>
        <w:t>ante los j</w:t>
      </w:r>
      <w:r>
        <w:rPr>
          <w:lang w:val="es-ES"/>
        </w:rPr>
        <w:t>uegos, con testigos para el demandante sugiriendo que un período de cuatro semanas para un equipo pequeño a un costo modesto debería ser suficiente para actuar este.</w:t>
      </w:r>
    </w:p>
    <w:p w:rsidR="00BB394B" w:rsidRDefault="005D5E11" w:rsidP="00BB394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la posición del </w:t>
      </w:r>
      <w:r w:rsidR="00E74648">
        <w:rPr>
          <w:rFonts w:eastAsiaTheme="minorEastAsia"/>
          <w:lang w:val="es-ES"/>
        </w:rPr>
        <w:t>demandado</w:t>
      </w:r>
      <w:r>
        <w:rPr>
          <w:rFonts w:eastAsiaTheme="minorEastAsia"/>
          <w:lang w:val="es-ES"/>
        </w:rPr>
        <w:t>, e</w:t>
      </w:r>
      <w:r w:rsidR="00BB394B">
        <w:rPr>
          <w:rFonts w:eastAsiaTheme="minorEastAsia" w:hint="eastAsia"/>
          <w:lang w:val="es-ES"/>
        </w:rPr>
        <w:t>l SO</w:t>
      </w:r>
      <w:r w:rsidR="00BB394B">
        <w:rPr>
          <w:rFonts w:eastAsiaTheme="minorEastAsia"/>
          <w:lang w:val="es-ES"/>
        </w:rPr>
        <w:t>COG</w:t>
      </w:r>
      <w:r>
        <w:rPr>
          <w:rFonts w:eastAsiaTheme="minorEastAsia"/>
          <w:lang w:val="es-ES"/>
        </w:rPr>
        <w:t xml:space="preserve"> </w:t>
      </w:r>
      <w:r w:rsidR="00BB394B">
        <w:rPr>
          <w:rFonts w:eastAsiaTheme="minorEastAsia"/>
          <w:lang w:val="es-ES"/>
        </w:rPr>
        <w:t>responde los siguientes:</w:t>
      </w:r>
    </w:p>
    <w:p w:rsidR="00BB394B" w:rsidRPr="00E74BD4" w:rsidRDefault="005D5E11" w:rsidP="00E74BD4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El texto alt</w:t>
      </w:r>
      <w:r w:rsidR="00171278">
        <w:rPr>
          <w:lang w:val="es-ES"/>
        </w:rPr>
        <w:t>ernativo</w:t>
      </w:r>
      <w:r>
        <w:rPr>
          <w:lang w:val="es-ES"/>
        </w:rPr>
        <w:t xml:space="preserve"> </w:t>
      </w:r>
      <w:r w:rsidR="00BB394B" w:rsidRPr="00E74BD4">
        <w:rPr>
          <w:lang w:val="es-ES"/>
        </w:rPr>
        <w:t xml:space="preserve">se estaba implementando progresivamente como parte del desarrollo continuo. </w:t>
      </w:r>
    </w:p>
    <w:p w:rsidR="00BB394B" w:rsidRPr="00E74BD4" w:rsidRDefault="00BB394B" w:rsidP="00E74BD4">
      <w:pPr>
        <w:pStyle w:val="a3"/>
        <w:numPr>
          <w:ilvl w:val="0"/>
          <w:numId w:val="3"/>
        </w:numPr>
        <w:ind w:firstLineChars="0"/>
        <w:rPr>
          <w:rFonts w:eastAsiaTheme="minorEastAsia"/>
          <w:lang w:val="es-ES"/>
        </w:rPr>
      </w:pPr>
      <w:r w:rsidRPr="00E74BD4">
        <w:rPr>
          <w:lang w:val="es-ES"/>
        </w:rPr>
        <w:t>El acceso desde la página Programa</w:t>
      </w:r>
      <w:r w:rsidR="00E74BD4" w:rsidRPr="00E74BD4">
        <w:rPr>
          <w:lang w:val="es-ES"/>
        </w:rPr>
        <w:t>ción</w:t>
      </w:r>
      <w:r w:rsidRPr="00E74BD4">
        <w:rPr>
          <w:lang w:val="es-ES"/>
        </w:rPr>
        <w:t xml:space="preserve"> al Índice de Deportes fue posible </w:t>
      </w:r>
      <w:r w:rsidR="00E74BD4" w:rsidRPr="00E74BD4">
        <w:rPr>
          <w:lang w:val="es-ES"/>
        </w:rPr>
        <w:t>a través de ingresar el Localizador Uniforme de R</w:t>
      </w:r>
      <w:r w:rsidRPr="00E74BD4">
        <w:rPr>
          <w:lang w:val="es-ES"/>
        </w:rPr>
        <w:t>ecursos (URL) en el navegador web directamente.</w:t>
      </w:r>
    </w:p>
    <w:p w:rsidR="00BB394B" w:rsidRDefault="00E74BD4" w:rsidP="00E74BD4">
      <w:pPr>
        <w:pStyle w:val="a3"/>
        <w:numPr>
          <w:ilvl w:val="0"/>
          <w:numId w:val="3"/>
        </w:numPr>
        <w:ind w:firstLineChars="0"/>
        <w:rPr>
          <w:lang w:val="es-ES"/>
        </w:rPr>
      </w:pPr>
      <w:r w:rsidRPr="00E74BD4">
        <w:rPr>
          <w:lang w:val="es-ES"/>
        </w:rPr>
        <w:t>El acceso a las Tablas de R</w:t>
      </w:r>
      <w:r w:rsidR="00BB394B" w:rsidRPr="00E74BD4">
        <w:rPr>
          <w:lang w:val="es-ES"/>
        </w:rPr>
        <w:t>esultados ocasionaría dificultades injustificables para el</w:t>
      </w:r>
      <w:r w:rsidRPr="00E74BD4">
        <w:rPr>
          <w:lang w:val="es-ES"/>
        </w:rPr>
        <w:t xml:space="preserve"> </w:t>
      </w:r>
      <w:r w:rsidR="00E74648">
        <w:rPr>
          <w:lang w:val="es-ES"/>
        </w:rPr>
        <w:t>demandado</w:t>
      </w:r>
      <w:r w:rsidRPr="00E74BD4">
        <w:rPr>
          <w:lang w:val="es-ES"/>
        </w:rPr>
        <w:t xml:space="preserve">, ya que el sitio </w:t>
      </w:r>
      <w:r w:rsidR="00BB394B" w:rsidRPr="00E74BD4">
        <w:rPr>
          <w:lang w:val="es-ES"/>
        </w:rPr>
        <w:t>había sido sometido a una "implementación y planificación sustancial", y esa resolución costaría un estimado de $ 2.2 millones de dólares australianos en 368 días hábiles</w:t>
      </w:r>
      <w:r w:rsidRPr="00E74BD4">
        <w:rPr>
          <w:lang w:val="es-ES"/>
        </w:rPr>
        <w:t>.</w:t>
      </w:r>
    </w:p>
    <w:p w:rsidR="005D5E11" w:rsidRDefault="005D5E11" w:rsidP="00E74BD4">
      <w:pPr>
        <w:rPr>
          <w:lang w:val="es-ES"/>
        </w:rPr>
      </w:pPr>
      <w:r>
        <w:rPr>
          <w:rFonts w:eastAsiaTheme="minorEastAsia" w:hint="eastAsia"/>
          <w:lang w:val="es-ES"/>
        </w:rPr>
        <w:t>Lo</w:t>
      </w:r>
      <w:r>
        <w:rPr>
          <w:rFonts w:eastAsiaTheme="minorEastAsia"/>
          <w:lang w:val="es-ES"/>
        </w:rPr>
        <w:t>s</w:t>
      </w:r>
      <w:r>
        <w:rPr>
          <w:rFonts w:eastAsiaTheme="minorEastAsia" w:hint="eastAsia"/>
          <w:lang w:val="es-ES"/>
        </w:rPr>
        <w:t xml:space="preserve"> que encuentra</w:t>
      </w:r>
      <w:r>
        <w:rPr>
          <w:rFonts w:eastAsiaTheme="minorEastAsia"/>
          <w:lang w:val="es-ES"/>
        </w:rPr>
        <w:t xml:space="preserve"> el </w:t>
      </w:r>
      <w:r>
        <w:rPr>
          <w:lang w:val="es-ES"/>
        </w:rPr>
        <w:t>HREOC después de referirse a las Pautas de Accesibilidad de Contenido W3C 1999 (WCAG 1.0)</w:t>
      </w:r>
      <w:r w:rsidR="00546B0A">
        <w:rPr>
          <w:rStyle w:val="a5"/>
          <w:lang w:val="es-ES"/>
        </w:rPr>
        <w:footnoteReference w:id="3"/>
      </w:r>
      <w:r>
        <w:rPr>
          <w:lang w:val="es-ES"/>
        </w:rPr>
        <w:t xml:space="preserve"> fueron:</w:t>
      </w:r>
    </w:p>
    <w:p w:rsidR="005D5E11" w:rsidRPr="000B73CE" w:rsidRDefault="005D5E11" w:rsidP="000B73CE">
      <w:pPr>
        <w:pStyle w:val="a3"/>
        <w:numPr>
          <w:ilvl w:val="0"/>
          <w:numId w:val="4"/>
        </w:numPr>
        <w:ind w:firstLineChars="0"/>
        <w:rPr>
          <w:rFonts w:eastAsiaTheme="minorEastAsia"/>
          <w:lang w:val="es-ES"/>
        </w:rPr>
      </w:pPr>
      <w:r w:rsidRPr="000B73CE">
        <w:rPr>
          <w:rFonts w:eastAsiaTheme="minorEastAsia"/>
          <w:lang w:val="es-ES"/>
        </w:rPr>
        <w:t xml:space="preserve">En virtud de la provisión continua de texto alternativo en oposición a la implementación inicial, es razonable pensar que el </w:t>
      </w:r>
      <w:r w:rsidR="00E74648">
        <w:rPr>
          <w:rFonts w:eastAsiaTheme="minorEastAsia"/>
          <w:lang w:val="es-ES"/>
        </w:rPr>
        <w:t>demandado</w:t>
      </w:r>
      <w:r w:rsidRPr="000B73CE">
        <w:rPr>
          <w:rFonts w:eastAsiaTheme="minorEastAsia"/>
          <w:lang w:val="es-ES"/>
        </w:rPr>
        <w:t xml:space="preserve"> puede hacer mejoras y disposiciones similares en otras áreas, incluso si ya han sido objeto de una "implementación y planificación sustancial".</w:t>
      </w:r>
    </w:p>
    <w:p w:rsidR="005D5E11" w:rsidRPr="000B73CE" w:rsidRDefault="005D5E11" w:rsidP="000B73CE">
      <w:pPr>
        <w:pStyle w:val="a3"/>
        <w:numPr>
          <w:ilvl w:val="0"/>
          <w:numId w:val="4"/>
        </w:numPr>
        <w:ind w:firstLineChars="0"/>
        <w:rPr>
          <w:rFonts w:eastAsiaTheme="minorEastAsia"/>
          <w:lang w:val="es-ES"/>
        </w:rPr>
      </w:pPr>
      <w:r w:rsidRPr="000B73CE">
        <w:rPr>
          <w:rFonts w:eastAsiaTheme="minorEastAsia"/>
          <w:lang w:val="es-ES"/>
        </w:rPr>
        <w:t xml:space="preserve">Espera a los usuarios a ingresar directamente cadenas URL no intuitivamente estructuradas en sus navegadores ya que un medio de navegación era contradictorio con la intención de cómo debería estar </w:t>
      </w:r>
      <w:r w:rsidRPr="000B73CE">
        <w:rPr>
          <w:rFonts w:eastAsiaTheme="minorEastAsia"/>
          <w:lang w:val="es-ES"/>
        </w:rPr>
        <w:lastRenderedPageBreak/>
        <w:t xml:space="preserve">disponible la información en Internet, es decir, accesible a través de una red de enlaces estructurados y contextualmente significativos, y para el </w:t>
      </w:r>
      <w:r w:rsidR="00E74648">
        <w:rPr>
          <w:rFonts w:eastAsiaTheme="minorEastAsia"/>
          <w:lang w:val="es-ES"/>
        </w:rPr>
        <w:t>demandado</w:t>
      </w:r>
      <w:r w:rsidRPr="000B73CE">
        <w:rPr>
          <w:rFonts w:eastAsiaTheme="minorEastAsia"/>
          <w:lang w:val="es-ES"/>
        </w:rPr>
        <w:t xml:space="preserve"> presentar esto como una alternativa adecuada no era razonable.</w:t>
      </w:r>
    </w:p>
    <w:p w:rsidR="000B73CE" w:rsidRPr="000B73CE" w:rsidRDefault="005D5E11" w:rsidP="000B73CE">
      <w:pPr>
        <w:pStyle w:val="a3"/>
        <w:numPr>
          <w:ilvl w:val="0"/>
          <w:numId w:val="4"/>
        </w:numPr>
        <w:ind w:firstLineChars="0"/>
        <w:rPr>
          <w:rFonts w:eastAsiaTheme="minorEastAsia"/>
          <w:lang w:val="es-ES"/>
        </w:rPr>
      </w:pPr>
      <w:r w:rsidRPr="000B73CE">
        <w:rPr>
          <w:rFonts w:eastAsiaTheme="minorEastAsia"/>
          <w:lang w:val="es-ES"/>
        </w:rPr>
        <w:t>El incumplimiento en el acceso a las Tablas de R</w:t>
      </w:r>
      <w:r w:rsidR="00986D2A">
        <w:rPr>
          <w:rFonts w:eastAsiaTheme="minorEastAsia"/>
          <w:lang w:val="es-ES"/>
        </w:rPr>
        <w:t>esultados en línea durante los j</w:t>
      </w:r>
      <w:r w:rsidRPr="000B73CE">
        <w:rPr>
          <w:rFonts w:eastAsiaTheme="minorEastAsia"/>
          <w:lang w:val="es-ES"/>
        </w:rPr>
        <w:t xml:space="preserve">uegos no constituiría la dificultad injustificada que reclama el </w:t>
      </w:r>
      <w:r w:rsidR="00E74648">
        <w:rPr>
          <w:rFonts w:eastAsiaTheme="minorEastAsia"/>
          <w:lang w:val="es-ES"/>
        </w:rPr>
        <w:t>demandado</w:t>
      </w:r>
      <w:r w:rsidRPr="000B73CE">
        <w:rPr>
          <w:rFonts w:eastAsiaTheme="minorEastAsia" w:hint="eastAsia"/>
          <w:lang w:val="es-ES"/>
        </w:rPr>
        <w:t>.</w:t>
      </w:r>
    </w:p>
    <w:p w:rsidR="00E74648" w:rsidRDefault="00E74648" w:rsidP="000B73C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resultado del caso es, el</w:t>
      </w:r>
      <w:r w:rsidR="000B73CE" w:rsidRPr="000B73CE">
        <w:rPr>
          <w:rFonts w:eastAsiaTheme="minorEastAsia"/>
          <w:lang w:val="es-ES"/>
        </w:rPr>
        <w:t xml:space="preserve"> dictamen de</w:t>
      </w:r>
      <w:r>
        <w:rPr>
          <w:rFonts w:eastAsiaTheme="minorEastAsia"/>
          <w:lang w:val="es-ES"/>
        </w:rPr>
        <w:t>l</w:t>
      </w:r>
      <w:r w:rsidR="000B73CE" w:rsidRPr="000B73CE">
        <w:rPr>
          <w:rFonts w:eastAsiaTheme="minorEastAsia"/>
          <w:lang w:val="es-ES"/>
        </w:rPr>
        <w:t xml:space="preserve"> HREOC sentó un precedente de crear un sitio web destinado a ser utilizado por e informar al público en general, donde dicho sitio web es más accesible para un usuario vidente que el mismo intento y la información no está disponible para un usuario ciego en virtud de discapacidad. </w:t>
      </w:r>
    </w:p>
    <w:p w:rsidR="000B73CE" w:rsidRPr="000B73CE" w:rsidRDefault="00E74648" w:rsidP="000B73C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</w:t>
      </w:r>
      <w:r w:rsidR="00F97E3D">
        <w:rPr>
          <w:rFonts w:eastAsiaTheme="minorEastAsia"/>
          <w:lang w:val="es-ES"/>
        </w:rPr>
        <w:t xml:space="preserve">se considera </w:t>
      </w:r>
      <w:proofErr w:type="spellStart"/>
      <w:r w:rsidR="008C4D19">
        <w:rPr>
          <w:rFonts w:eastAsiaTheme="minorEastAsia"/>
          <w:lang w:val="es-ES"/>
        </w:rPr>
        <w:t>Maguire</w:t>
      </w:r>
      <w:proofErr w:type="spellEnd"/>
      <w:r w:rsidR="008C4D19">
        <w:rPr>
          <w:rFonts w:eastAsiaTheme="minorEastAsia"/>
          <w:lang w:val="es-ES"/>
        </w:rPr>
        <w:t xml:space="preserve"> </w:t>
      </w:r>
      <w:r w:rsidR="00F97E3D">
        <w:rPr>
          <w:rFonts w:eastAsiaTheme="minorEastAsia"/>
          <w:lang w:val="es-ES"/>
        </w:rPr>
        <w:t>estaba siendo</w:t>
      </w:r>
      <w:r>
        <w:rPr>
          <w:rFonts w:eastAsiaTheme="minorEastAsia"/>
          <w:lang w:val="es-ES"/>
        </w:rPr>
        <w:t xml:space="preserve"> discriminado</w:t>
      </w:r>
      <w:r w:rsidR="000B73CE" w:rsidRPr="000B73CE">
        <w:rPr>
          <w:rFonts w:eastAsiaTheme="minorEastAsia"/>
          <w:lang w:val="es-ES"/>
        </w:rPr>
        <w:t xml:space="preserve"> por la falta de provisión, y el creador del sitio web infringe </w:t>
      </w:r>
      <w:r w:rsidR="00546B0A">
        <w:rPr>
          <w:rFonts w:eastAsiaTheme="minorEastAsia"/>
          <w:lang w:val="es-ES"/>
        </w:rPr>
        <w:t xml:space="preserve">la </w:t>
      </w:r>
      <w:r w:rsidR="00546B0A" w:rsidRPr="00644F9C">
        <w:rPr>
          <w:lang w:val="es-ES"/>
        </w:rPr>
        <w:t>Ley de Discrimin</w:t>
      </w:r>
      <w:r w:rsidR="00546B0A">
        <w:rPr>
          <w:lang w:val="es-ES"/>
        </w:rPr>
        <w:t>ación por Discapacidad Acta 1992.</w:t>
      </w:r>
      <w:r w:rsidRPr="00E74648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E</w:t>
      </w:r>
      <w:r w:rsidRPr="000B73CE">
        <w:rPr>
          <w:rFonts w:eastAsiaTheme="minorEastAsia"/>
          <w:lang w:val="es-ES"/>
        </w:rPr>
        <w:t>l demandado paga</w:t>
      </w:r>
      <w:r w:rsidR="00171278">
        <w:rPr>
          <w:rFonts w:eastAsiaTheme="minorEastAsia"/>
          <w:lang w:val="es-ES"/>
        </w:rPr>
        <w:t>ría</w:t>
      </w:r>
      <w:r w:rsidRPr="000B73CE">
        <w:rPr>
          <w:rFonts w:eastAsiaTheme="minorEastAsia"/>
          <w:lang w:val="es-ES"/>
        </w:rPr>
        <w:t xml:space="preserve"> daños de $ 20,000 AUD al demandante.</w:t>
      </w:r>
      <w:r w:rsidR="002A1F42">
        <w:rPr>
          <w:rFonts w:eastAsiaTheme="minorEastAsia"/>
          <w:lang w:val="es-ES"/>
        </w:rPr>
        <w:t xml:space="preserve"> Como consecuencia de esto</w:t>
      </w:r>
      <w:r>
        <w:rPr>
          <w:rFonts w:eastAsiaTheme="minorEastAsia"/>
          <w:lang w:val="es-ES"/>
        </w:rPr>
        <w:t>, l</w:t>
      </w:r>
      <w:r w:rsidR="000B73CE" w:rsidRPr="000B73CE">
        <w:rPr>
          <w:rFonts w:eastAsiaTheme="minorEastAsia"/>
          <w:lang w:val="es-ES"/>
        </w:rPr>
        <w:t>os gobiernos australianos adoptaron pos</w:t>
      </w:r>
      <w:r w:rsidR="00953565">
        <w:rPr>
          <w:rFonts w:eastAsiaTheme="minorEastAsia"/>
          <w:lang w:val="es-ES"/>
        </w:rPr>
        <w:t>teriormente las pautas</w:t>
      </w:r>
      <w:r w:rsidR="00171278">
        <w:rPr>
          <w:rFonts w:eastAsiaTheme="minorEastAsia"/>
          <w:lang w:val="es-ES"/>
        </w:rPr>
        <w:t xml:space="preserve"> de</w:t>
      </w:r>
      <w:r>
        <w:rPr>
          <w:rFonts w:eastAsiaTheme="minorEastAsia"/>
          <w:lang w:val="es-ES"/>
        </w:rPr>
        <w:t xml:space="preserve"> W3C</w:t>
      </w:r>
      <w:r>
        <w:rPr>
          <w:rFonts w:eastAsiaTheme="minorEastAsia" w:hint="eastAsia"/>
          <w:lang w:val="es-ES"/>
        </w:rPr>
        <w:t xml:space="preserve"> y </w:t>
      </w:r>
      <w:r>
        <w:rPr>
          <w:rFonts w:eastAsiaTheme="minorEastAsia"/>
          <w:lang w:val="es-ES"/>
        </w:rPr>
        <w:t>e</w:t>
      </w:r>
      <w:r w:rsidR="000B73CE" w:rsidRPr="000B73CE">
        <w:rPr>
          <w:rFonts w:eastAsiaTheme="minorEastAsia"/>
          <w:lang w:val="es-ES"/>
        </w:rPr>
        <w:t xml:space="preserve">l Gobierno de la Commonwealth </w:t>
      </w:r>
      <w:r>
        <w:rPr>
          <w:rFonts w:eastAsiaTheme="minorEastAsia"/>
          <w:lang w:val="es-ES"/>
        </w:rPr>
        <w:t xml:space="preserve">de Australia </w:t>
      </w:r>
      <w:r w:rsidR="000B73CE" w:rsidRPr="000B73CE">
        <w:rPr>
          <w:rFonts w:eastAsiaTheme="minorEastAsia"/>
          <w:lang w:val="es-ES"/>
        </w:rPr>
        <w:t>exigió</w:t>
      </w:r>
      <w:r w:rsidR="00064F7E">
        <w:rPr>
          <w:rFonts w:eastAsiaTheme="minorEastAsia"/>
          <w:lang w:val="es-ES"/>
        </w:rPr>
        <w:t xml:space="preserve"> que todos los sitios web de sus</w:t>
      </w:r>
      <w:r w:rsidR="000B73CE" w:rsidRPr="000B73CE">
        <w:rPr>
          <w:rFonts w:eastAsiaTheme="minorEastAsia"/>
          <w:lang w:val="es-ES"/>
        </w:rPr>
        <w:t xml:space="preserve"> agencias pasaran las pruebas de accesibilidad an</w:t>
      </w:r>
      <w:r>
        <w:rPr>
          <w:rFonts w:eastAsiaTheme="minorEastAsia"/>
          <w:lang w:val="es-ES"/>
        </w:rPr>
        <w:t>tes del 1 de diciembre de 2000.</w:t>
      </w:r>
    </w:p>
    <w:p w:rsidR="000B73CE" w:rsidRPr="000B73CE" w:rsidRDefault="000B73CE" w:rsidP="000B73CE">
      <w:pPr>
        <w:rPr>
          <w:rFonts w:eastAsiaTheme="minorEastAsia"/>
          <w:lang w:val="es-ES"/>
        </w:rPr>
      </w:pPr>
    </w:p>
    <w:sectPr w:rsidR="000B73CE" w:rsidRPr="000B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78" w:rsidRDefault="00D36578" w:rsidP="005C7DB7">
      <w:pPr>
        <w:spacing w:before="0" w:after="0" w:line="240" w:lineRule="auto"/>
      </w:pPr>
      <w:r>
        <w:separator/>
      </w:r>
    </w:p>
  </w:endnote>
  <w:endnote w:type="continuationSeparator" w:id="0">
    <w:p w:rsidR="00D36578" w:rsidRDefault="00D36578" w:rsidP="005C7D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78" w:rsidRDefault="00D36578" w:rsidP="005C7DB7">
      <w:pPr>
        <w:spacing w:before="0" w:after="0" w:line="240" w:lineRule="auto"/>
      </w:pPr>
      <w:r>
        <w:separator/>
      </w:r>
    </w:p>
  </w:footnote>
  <w:footnote w:type="continuationSeparator" w:id="0">
    <w:p w:rsidR="00D36578" w:rsidRDefault="00D36578" w:rsidP="005C7DB7">
      <w:pPr>
        <w:spacing w:before="0" w:after="0" w:line="240" w:lineRule="auto"/>
      </w:pPr>
      <w:r>
        <w:continuationSeparator/>
      </w:r>
    </w:p>
  </w:footnote>
  <w:footnote w:id="1">
    <w:p w:rsidR="005D5E11" w:rsidRPr="005C7DB7" w:rsidRDefault="005D5E11">
      <w:pPr>
        <w:pStyle w:val="a4"/>
      </w:pPr>
      <w:r>
        <w:rPr>
          <w:rStyle w:val="a5"/>
        </w:rPr>
        <w:footnoteRef/>
      </w:r>
      <w:r>
        <w:t xml:space="preserve"> </w:t>
      </w:r>
      <w:r w:rsidRPr="005C7DB7">
        <w:t xml:space="preserve">1. “Maguire v Sydney </w:t>
      </w:r>
      <w:proofErr w:type="spellStart"/>
      <w:r w:rsidRPr="005C7DB7">
        <w:t>Organising</w:t>
      </w:r>
      <w:proofErr w:type="spellEnd"/>
      <w:r w:rsidRPr="005C7DB7">
        <w:t xml:space="preserve"> Committee for the Olympic</w:t>
      </w:r>
      <w:r>
        <w:t xml:space="preserve"> Games (2000),” Wikipedia, 9 de mayo</w:t>
      </w:r>
      <w:r w:rsidRPr="005C7DB7">
        <w:t xml:space="preserve">, 2017, </w:t>
      </w:r>
      <w:hyperlink r:id="rId1" w:history="1">
        <w:r w:rsidRPr="003D42D4">
          <w:rPr>
            <w:rStyle w:val="a6"/>
          </w:rPr>
          <w:t>https://en.wikipedia.org/w/index.php?title=Maguire_v_Sydney_Organising_Committee_for_the_Olympic_Games_(2000)&amp;oldid=779495196</w:t>
        </w:r>
      </w:hyperlink>
      <w:r w:rsidRPr="005C7DB7">
        <w:t>.</w:t>
      </w:r>
      <w:r>
        <w:t xml:space="preserve"> </w:t>
      </w:r>
    </w:p>
  </w:footnote>
  <w:footnote w:id="2">
    <w:p w:rsidR="005D5E11" w:rsidRPr="00CE47BE" w:rsidRDefault="005D5E11">
      <w:pPr>
        <w:pStyle w:val="a4"/>
      </w:pPr>
      <w:r>
        <w:rPr>
          <w:rStyle w:val="a5"/>
        </w:rPr>
        <w:footnoteRef/>
      </w:r>
      <w:r>
        <w:t xml:space="preserve"> DISABILITY DISCRIMINATION ACT 1992 - SECT 12 Application of Act, 25 August 2008, Australasian Legal Information Institute, </w:t>
      </w:r>
      <w:hyperlink r:id="rId2" w:history="1">
        <w:r>
          <w:rPr>
            <w:rStyle w:val="a6"/>
          </w:rPr>
          <w:t>http://www.austlii.edu.au/au/legis/cth/consol_act/dda1992264/s12.html</w:t>
        </w:r>
      </w:hyperlink>
      <w:r>
        <w:t xml:space="preserve"> </w:t>
      </w:r>
    </w:p>
  </w:footnote>
  <w:footnote w:id="3">
    <w:p w:rsidR="00546B0A" w:rsidRPr="00546B0A" w:rsidRDefault="00546B0A">
      <w:pPr>
        <w:pStyle w:val="a4"/>
        <w:rPr>
          <w:rFonts w:eastAsiaTheme="minorEastAsia"/>
        </w:rPr>
      </w:pPr>
      <w:r>
        <w:rPr>
          <w:rStyle w:val="a5"/>
        </w:rPr>
        <w:footnoteRef/>
      </w:r>
      <w:r>
        <w:t xml:space="preserve"> </w:t>
      </w:r>
      <w:r w:rsidRPr="00546B0A">
        <w:t xml:space="preserve">W3C Web Accessibility Initiative (WAI), “Navigating WCAG 1.0 Guidelines and Techniques Documents | Web Accessibility Initiative (WAI) | W3C,” W3C Web Accessibility Initiative (WAI), </w:t>
      </w:r>
      <w:r>
        <w:t xml:space="preserve">9 de </w:t>
      </w:r>
      <w:proofErr w:type="spellStart"/>
      <w:r>
        <w:t>diciembre</w:t>
      </w:r>
      <w:proofErr w:type="spellEnd"/>
      <w:r w:rsidRPr="00546B0A">
        <w:t xml:space="preserve">, 2017, </w:t>
      </w:r>
      <w:hyperlink r:id="rId3" w:history="1">
        <w:r w:rsidRPr="00AF400F">
          <w:rPr>
            <w:rStyle w:val="a6"/>
          </w:rPr>
          <w:t>https://www.w3.org/WAI/intro/wcag10</w:t>
        </w:r>
      </w:hyperlink>
      <w:r w:rsidRPr="00546B0A"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D5853"/>
    <w:multiLevelType w:val="hybridMultilevel"/>
    <w:tmpl w:val="7FDA4048"/>
    <w:lvl w:ilvl="0" w:tplc="54FCD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F7152"/>
    <w:multiLevelType w:val="hybridMultilevel"/>
    <w:tmpl w:val="72E09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D963F9"/>
    <w:multiLevelType w:val="hybridMultilevel"/>
    <w:tmpl w:val="04D48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197DBA"/>
    <w:multiLevelType w:val="hybridMultilevel"/>
    <w:tmpl w:val="3AE02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F9"/>
    <w:rsid w:val="00010BA3"/>
    <w:rsid w:val="00064F7E"/>
    <w:rsid w:val="000B73CE"/>
    <w:rsid w:val="00171278"/>
    <w:rsid w:val="00271A33"/>
    <w:rsid w:val="00291DD6"/>
    <w:rsid w:val="002A1F42"/>
    <w:rsid w:val="002D75A4"/>
    <w:rsid w:val="00335387"/>
    <w:rsid w:val="003722E6"/>
    <w:rsid w:val="00405E57"/>
    <w:rsid w:val="00546B0A"/>
    <w:rsid w:val="00595F6F"/>
    <w:rsid w:val="005C7DB7"/>
    <w:rsid w:val="005D5E11"/>
    <w:rsid w:val="00644F9C"/>
    <w:rsid w:val="006C1B18"/>
    <w:rsid w:val="008350FC"/>
    <w:rsid w:val="008C4D19"/>
    <w:rsid w:val="00945B67"/>
    <w:rsid w:val="00953565"/>
    <w:rsid w:val="00974261"/>
    <w:rsid w:val="00986D2A"/>
    <w:rsid w:val="009C0DBD"/>
    <w:rsid w:val="00B46373"/>
    <w:rsid w:val="00B53813"/>
    <w:rsid w:val="00BB394B"/>
    <w:rsid w:val="00BC19E1"/>
    <w:rsid w:val="00CE47BE"/>
    <w:rsid w:val="00D20AA8"/>
    <w:rsid w:val="00D36578"/>
    <w:rsid w:val="00D979EA"/>
    <w:rsid w:val="00E74648"/>
    <w:rsid w:val="00E74BD4"/>
    <w:rsid w:val="00ED26A8"/>
    <w:rsid w:val="00EF67F9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AAD6B-C331-41A2-A2BC-2D85A2AF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73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5C7DB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5C7DB7"/>
    <w:rPr>
      <w:rFonts w:ascii="Arial" w:eastAsia="Arial" w:hAnsi="Arial" w:cs="Arial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C7DB7"/>
    <w:rPr>
      <w:vertAlign w:val="superscript"/>
    </w:rPr>
  </w:style>
  <w:style w:type="character" w:styleId="a6">
    <w:name w:val="Hyperlink"/>
    <w:basedOn w:val="a0"/>
    <w:uiPriority w:val="99"/>
    <w:unhideWhenUsed/>
    <w:rsid w:val="005C7D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1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1B18"/>
    <w:rPr>
      <w:rFonts w:ascii="Arial" w:eastAsia="Arial" w:hAnsi="Arial" w:cs="Arial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595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95F6F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95F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95F6F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.org/WAI/intro/wcag10" TargetMode="External"/><Relationship Id="rId2" Type="http://schemas.openxmlformats.org/officeDocument/2006/relationships/hyperlink" Target="http://www.austlii.edu.au/au/legis/cth/consol_act/dda1992264/s12.html" TargetMode="External"/><Relationship Id="rId1" Type="http://schemas.openxmlformats.org/officeDocument/2006/relationships/hyperlink" Target="https://en.wikipedia.org/w/index.php?title=Maguire_v_Sydney_Organising_Committee_for_the_Olympic_Games_(2000)&amp;oldid=7794951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7D08-6AB2-48D2-B571-9D5FE224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16</cp:revision>
  <dcterms:created xsi:type="dcterms:W3CDTF">2017-11-30T17:51:00Z</dcterms:created>
  <dcterms:modified xsi:type="dcterms:W3CDTF">2017-12-12T15:55:00Z</dcterms:modified>
</cp:coreProperties>
</file>