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34936" w14:textId="7D4A3720" w:rsidR="00AA0D54" w:rsidRDefault="00AA0D54" w:rsidP="00AA0D54">
      <w:pPr>
        <w:pStyle w:val="Header"/>
        <w:jc w:val="right"/>
        <w:rPr>
          <w:b/>
        </w:rPr>
      </w:pPr>
      <w:r>
        <w:rPr>
          <w:b/>
        </w:rPr>
        <w:t>AGENDA ITEM 4</w:t>
      </w:r>
    </w:p>
    <w:p w14:paraId="458C6B11" w14:textId="4D3553B1" w:rsidR="00AA0D54" w:rsidRDefault="00AA0D54" w:rsidP="00AA0D54">
      <w:pPr>
        <w:pStyle w:val="Header"/>
        <w:jc w:val="right"/>
      </w:pPr>
      <w:r>
        <w:rPr>
          <w:b/>
        </w:rPr>
        <w:tab/>
      </w:r>
      <w:r>
        <w:rPr>
          <w:b/>
        </w:rPr>
        <w:tab/>
      </w:r>
      <w:r>
        <w:t>Interim Working Group</w:t>
      </w:r>
    </w:p>
    <w:p w14:paraId="36F44BD6" w14:textId="69AC16E4" w:rsidR="00AA0D54" w:rsidRPr="00ED7335" w:rsidRDefault="00AA0D54" w:rsidP="00AA0D54">
      <w:pPr>
        <w:pStyle w:val="Header"/>
        <w:jc w:val="right"/>
        <w:rPr>
          <w:color w:val="FF0000"/>
        </w:rPr>
      </w:pPr>
      <w:r>
        <w:t>5 September 2016</w:t>
      </w:r>
    </w:p>
    <w:p w14:paraId="38ED7E21" w14:textId="77777777" w:rsidR="00AA0D54" w:rsidRPr="00AA0D54" w:rsidRDefault="00AA0D54" w:rsidP="00AA0D54">
      <w:pPr>
        <w:spacing w:after="0"/>
        <w:jc w:val="right"/>
        <w:rPr>
          <w:sz w:val="24"/>
        </w:rPr>
      </w:pPr>
    </w:p>
    <w:p w14:paraId="6C9828B6" w14:textId="7E195EDE" w:rsidR="00EE241F" w:rsidRPr="00AA0D54" w:rsidRDefault="00AA0D54" w:rsidP="005916A1">
      <w:pPr>
        <w:spacing w:after="0"/>
        <w:jc w:val="center"/>
        <w:rPr>
          <w:b/>
          <w:sz w:val="32"/>
        </w:rPr>
      </w:pPr>
      <w:r w:rsidRPr="00AA0D54">
        <w:rPr>
          <w:b/>
          <w:sz w:val="32"/>
        </w:rPr>
        <w:t>Australia’s first</w:t>
      </w:r>
      <w:r w:rsidR="00811322" w:rsidRPr="00AA0D54">
        <w:rPr>
          <w:b/>
          <w:sz w:val="32"/>
        </w:rPr>
        <w:t xml:space="preserve"> National Action Plan</w:t>
      </w:r>
    </w:p>
    <w:p w14:paraId="5C5DAFD9" w14:textId="77777777" w:rsidR="002E7792" w:rsidRDefault="002E7792" w:rsidP="002E7792">
      <w:pPr>
        <w:widowControl w:val="0"/>
        <w:spacing w:after="0"/>
        <w:rPr>
          <w:rFonts w:cs="Arial"/>
        </w:rPr>
      </w:pPr>
    </w:p>
    <w:p w14:paraId="4230183B" w14:textId="17C91E93" w:rsidR="005C0B57" w:rsidRDefault="00A43C32" w:rsidP="002E7792">
      <w:pPr>
        <w:widowControl w:val="0"/>
        <w:spacing w:after="0"/>
      </w:pPr>
      <w:r>
        <w:rPr>
          <w:rFonts w:cs="Arial"/>
        </w:rPr>
        <w:t>Australia’s first National Action Plan</w:t>
      </w:r>
      <w:r w:rsidR="002E7792" w:rsidRPr="002E7792">
        <w:rPr>
          <w:rFonts w:cs="Arial"/>
        </w:rPr>
        <w:t xml:space="preserve"> </w:t>
      </w:r>
      <w:r w:rsidR="005721AD">
        <w:rPr>
          <w:rFonts w:cs="Arial"/>
        </w:rPr>
        <w:t>is an</w:t>
      </w:r>
      <w:r w:rsidR="002E7792">
        <w:rPr>
          <w:rFonts w:cs="Arial"/>
        </w:rPr>
        <w:t xml:space="preserve"> opportunity</w:t>
      </w:r>
      <w:r>
        <w:rPr>
          <w:rFonts w:cs="Arial"/>
        </w:rPr>
        <w:t xml:space="preserve"> for the Government and civil society to work together to enhance </w:t>
      </w:r>
      <w:r>
        <w:t xml:space="preserve">transparency, accountability, public participation and innovation in </w:t>
      </w:r>
      <w:r w:rsidR="00CB2FE2">
        <w:t>our country and region</w:t>
      </w:r>
      <w:r>
        <w:t>.</w:t>
      </w:r>
    </w:p>
    <w:p w14:paraId="018562DF" w14:textId="77777777" w:rsidR="00A43C32" w:rsidRDefault="00A43C32" w:rsidP="002E7792">
      <w:pPr>
        <w:widowControl w:val="0"/>
        <w:spacing w:after="0"/>
      </w:pPr>
    </w:p>
    <w:p w14:paraId="75A55B36" w14:textId="63AE5BD4" w:rsidR="00F94595" w:rsidRDefault="00A43C32" w:rsidP="00F94595">
      <w:pPr>
        <w:pStyle w:val="ListParagraph"/>
        <w:ind w:left="0"/>
        <w:rPr>
          <w:rFonts w:cs="Arial"/>
        </w:rPr>
      </w:pPr>
      <w:r>
        <w:rPr>
          <w:rFonts w:cs="Arial"/>
        </w:rPr>
        <w:t>The Australian Government is committed to co-</w:t>
      </w:r>
      <w:r w:rsidR="00CB2FE2">
        <w:rPr>
          <w:rFonts w:cs="Arial"/>
        </w:rPr>
        <w:t>creating</w:t>
      </w:r>
      <w:r>
        <w:rPr>
          <w:rFonts w:cs="Arial"/>
        </w:rPr>
        <w:t xml:space="preserve"> a plan that contains concrete and ambitious </w:t>
      </w:r>
      <w:r w:rsidR="00CB2FE2">
        <w:rPr>
          <w:rFonts w:cs="Arial"/>
        </w:rPr>
        <w:t>action</w:t>
      </w:r>
      <w:r>
        <w:rPr>
          <w:rFonts w:cs="Arial"/>
        </w:rPr>
        <w:t xml:space="preserve">s that build upon our </w:t>
      </w:r>
      <w:r w:rsidR="005721AD">
        <w:rPr>
          <w:rFonts w:cs="Arial"/>
        </w:rPr>
        <w:t xml:space="preserve">long tradition </w:t>
      </w:r>
      <w:r>
        <w:rPr>
          <w:rFonts w:cs="Arial"/>
        </w:rPr>
        <w:t xml:space="preserve">of openness and transparency. </w:t>
      </w:r>
      <w:r w:rsidR="00915DE9">
        <w:rPr>
          <w:rFonts w:cs="Arial"/>
        </w:rPr>
        <w:t>Our </w:t>
      </w:r>
      <w:r w:rsidR="00CB2FE2">
        <w:rPr>
          <w:rFonts w:cs="Arial"/>
        </w:rPr>
        <w:t xml:space="preserve">first National Action plan will </w:t>
      </w:r>
      <w:r w:rsidR="00CB2FE2" w:rsidRPr="00CB2FE2">
        <w:rPr>
          <w:rFonts w:cs="Arial"/>
        </w:rPr>
        <w:t xml:space="preserve">provide a foundation to further engage with civil society and identify new </w:t>
      </w:r>
      <w:r w:rsidR="00915DE9">
        <w:rPr>
          <w:rFonts w:cs="Arial"/>
        </w:rPr>
        <w:t xml:space="preserve">open government </w:t>
      </w:r>
      <w:r w:rsidR="00CB2FE2" w:rsidRPr="00CB2FE2">
        <w:rPr>
          <w:rFonts w:cs="Arial"/>
        </w:rPr>
        <w:t>initiatives over time</w:t>
      </w:r>
      <w:r w:rsidR="00CB2FE2">
        <w:rPr>
          <w:rFonts w:cs="Arial"/>
        </w:rPr>
        <w:t>.</w:t>
      </w:r>
    </w:p>
    <w:p w14:paraId="2CFBB01F" w14:textId="77777777" w:rsidR="00CB2FE2" w:rsidRDefault="00CB2FE2" w:rsidP="00F94595">
      <w:pPr>
        <w:pStyle w:val="ListParagraph"/>
        <w:ind w:left="0"/>
        <w:rPr>
          <w:rFonts w:cs="Arial"/>
        </w:rPr>
      </w:pPr>
    </w:p>
    <w:p w14:paraId="32370AAC" w14:textId="04CFB5DE" w:rsidR="00915DE9" w:rsidRDefault="00CB2FE2" w:rsidP="00915DE9">
      <w:pPr>
        <w:pStyle w:val="ListParagraph"/>
        <w:ind w:left="0"/>
        <w:rPr>
          <w:rFonts w:cs="Arial"/>
        </w:rPr>
      </w:pPr>
      <w:r>
        <w:rPr>
          <w:rFonts w:cs="Arial"/>
        </w:rPr>
        <w:t xml:space="preserve">Australia’s </w:t>
      </w:r>
      <w:r w:rsidR="00915DE9">
        <w:rPr>
          <w:rFonts w:cs="Arial"/>
        </w:rPr>
        <w:t xml:space="preserve">first </w:t>
      </w:r>
      <w:r>
        <w:rPr>
          <w:rFonts w:cs="Arial"/>
        </w:rPr>
        <w:t xml:space="preserve">National Action Plan is due for submission to the Open Government Partnership </w:t>
      </w:r>
      <w:r w:rsidR="00915DE9">
        <w:rPr>
          <w:rFonts w:cs="Arial"/>
        </w:rPr>
        <w:t xml:space="preserve">(OGP) </w:t>
      </w:r>
      <w:r>
        <w:rPr>
          <w:rFonts w:cs="Arial"/>
        </w:rPr>
        <w:t>by 1 November 2016.</w:t>
      </w:r>
      <w:r w:rsidR="00915DE9" w:rsidRPr="00915DE9">
        <w:rPr>
          <w:rFonts w:cs="Arial"/>
        </w:rPr>
        <w:t xml:space="preserve"> </w:t>
      </w:r>
      <w:r w:rsidR="00915DE9">
        <w:rPr>
          <w:rFonts w:cs="Arial"/>
        </w:rPr>
        <w:t>Participating countries work in a two-year National Action Plan calendar cycle, with our next plan due in mid-2018.</w:t>
      </w:r>
    </w:p>
    <w:p w14:paraId="63A9174F" w14:textId="77777777" w:rsidR="00F94595" w:rsidRDefault="00F94595" w:rsidP="00F94595">
      <w:pPr>
        <w:pStyle w:val="ListParagraph"/>
        <w:ind w:left="0"/>
        <w:rPr>
          <w:b/>
          <w:sz w:val="24"/>
          <w:szCs w:val="24"/>
        </w:rPr>
      </w:pPr>
    </w:p>
    <w:p w14:paraId="165CD05A" w14:textId="77777777" w:rsidR="00AA0D54" w:rsidRPr="00AA0D54" w:rsidRDefault="00AA0D54" w:rsidP="00AA0D54">
      <w:pPr>
        <w:pStyle w:val="ListParagraph"/>
        <w:numPr>
          <w:ilvl w:val="1"/>
          <w:numId w:val="4"/>
        </w:numPr>
        <w:ind w:left="0"/>
        <w:rPr>
          <w:b/>
          <w:sz w:val="24"/>
          <w:szCs w:val="24"/>
        </w:rPr>
      </w:pPr>
      <w:r w:rsidRPr="00AA0D54">
        <w:rPr>
          <w:b/>
          <w:sz w:val="24"/>
          <w:szCs w:val="24"/>
        </w:rPr>
        <w:t>Grand challenges and themes</w:t>
      </w:r>
    </w:p>
    <w:p w14:paraId="2A08F854" w14:textId="7E04D936" w:rsidR="005C0B57" w:rsidRDefault="005C0B57" w:rsidP="002E7792">
      <w:pPr>
        <w:widowControl w:val="0"/>
        <w:spacing w:after="0"/>
        <w:rPr>
          <w:rFonts w:cs="Arial"/>
        </w:rPr>
      </w:pPr>
      <w:r>
        <w:rPr>
          <w:rFonts w:cs="Arial"/>
        </w:rPr>
        <w:t>National Action Plan c</w:t>
      </w:r>
      <w:r w:rsidRPr="000E1963">
        <w:rPr>
          <w:rFonts w:cs="Arial"/>
        </w:rPr>
        <w:t xml:space="preserve">ommitments </w:t>
      </w:r>
      <w:r>
        <w:rPr>
          <w:rFonts w:cs="Arial"/>
        </w:rPr>
        <w:t xml:space="preserve">must </w:t>
      </w:r>
      <w:r w:rsidRPr="000E1963">
        <w:rPr>
          <w:rFonts w:cs="Arial"/>
        </w:rPr>
        <w:t>relate to at least one of th</w:t>
      </w:r>
      <w:r>
        <w:rPr>
          <w:rFonts w:cs="Arial"/>
        </w:rPr>
        <w:t xml:space="preserve">e </w:t>
      </w:r>
      <w:r w:rsidR="00915DE9">
        <w:rPr>
          <w:rFonts w:cs="Arial"/>
        </w:rPr>
        <w:t>OGP</w:t>
      </w:r>
      <w:r>
        <w:rPr>
          <w:rFonts w:cs="Arial"/>
        </w:rPr>
        <w:t xml:space="preserve">’s five Grand </w:t>
      </w:r>
      <w:r w:rsidR="00EB14FC">
        <w:rPr>
          <w:rFonts w:cs="Arial"/>
        </w:rPr>
        <w:t>Challenges</w:t>
      </w:r>
      <w:r>
        <w:rPr>
          <w:rFonts w:cs="Arial"/>
        </w:rPr>
        <w:t>:</w:t>
      </w:r>
      <w:r w:rsidRPr="000E1963">
        <w:rPr>
          <w:rFonts w:cs="Arial"/>
        </w:rPr>
        <w:t xml:space="preserve"> </w:t>
      </w:r>
    </w:p>
    <w:p w14:paraId="202AE1B9" w14:textId="77777777" w:rsidR="002E7792" w:rsidRDefault="002E7792" w:rsidP="002E7792">
      <w:pPr>
        <w:widowControl w:val="0"/>
        <w:spacing w:after="0"/>
        <w:rPr>
          <w:rFonts w:cs="Arial"/>
        </w:rPr>
      </w:pPr>
    </w:p>
    <w:p w14:paraId="36BEB592" w14:textId="77777777" w:rsidR="005C0B57" w:rsidRPr="005C0B57" w:rsidRDefault="005C0B57" w:rsidP="005C0B57">
      <w:pPr>
        <w:pStyle w:val="ListParagraph"/>
        <w:widowControl w:val="0"/>
        <w:numPr>
          <w:ilvl w:val="0"/>
          <w:numId w:val="8"/>
        </w:numPr>
        <w:ind w:left="426" w:hanging="294"/>
        <w:rPr>
          <w:rFonts w:cs="Arial"/>
        </w:rPr>
      </w:pPr>
      <w:r w:rsidRPr="005C0B57">
        <w:rPr>
          <w:rFonts w:cs="Arial"/>
          <w:b/>
        </w:rPr>
        <w:t>Improving Public Services</w:t>
      </w:r>
      <w:r w:rsidRPr="005C0B57">
        <w:rPr>
          <w:rFonts w:cs="Arial"/>
        </w:rPr>
        <w:t>—measures that address the full spectrum of citizen services (including health, education, criminal justice, water, electricity, telecommunications and any other relevant service areas) by fostering public service improvement or private sector innovation.</w:t>
      </w:r>
    </w:p>
    <w:p w14:paraId="4D487BCD" w14:textId="77777777" w:rsidR="005C0B57" w:rsidRPr="005C0B57" w:rsidRDefault="005C0B57" w:rsidP="005C0B57">
      <w:pPr>
        <w:pStyle w:val="ListParagraph"/>
        <w:widowControl w:val="0"/>
        <w:numPr>
          <w:ilvl w:val="0"/>
          <w:numId w:val="8"/>
        </w:numPr>
        <w:ind w:left="426" w:hanging="294"/>
        <w:rPr>
          <w:rFonts w:cs="Arial"/>
        </w:rPr>
      </w:pPr>
      <w:r w:rsidRPr="005C0B57">
        <w:rPr>
          <w:rFonts w:cs="Arial"/>
          <w:b/>
        </w:rPr>
        <w:t>Increasing Public Integrity</w:t>
      </w:r>
      <w:r w:rsidRPr="005C0B57">
        <w:rPr>
          <w:rFonts w:cs="Arial"/>
        </w:rPr>
        <w:t>—measures that address corruption and public ethics, access to information, campaign finance reform, and media and civil society freedom;</w:t>
      </w:r>
    </w:p>
    <w:p w14:paraId="70C25889" w14:textId="77777777" w:rsidR="005C0B57" w:rsidRPr="005C0B57" w:rsidRDefault="005C0B57" w:rsidP="005C0B57">
      <w:pPr>
        <w:pStyle w:val="ListParagraph"/>
        <w:widowControl w:val="0"/>
        <w:numPr>
          <w:ilvl w:val="0"/>
          <w:numId w:val="8"/>
        </w:numPr>
        <w:ind w:left="426" w:hanging="294"/>
        <w:rPr>
          <w:rFonts w:cs="Arial"/>
        </w:rPr>
      </w:pPr>
      <w:r w:rsidRPr="005C0B57">
        <w:rPr>
          <w:rFonts w:cs="Arial"/>
          <w:b/>
        </w:rPr>
        <w:t>More Effectively Managing Public Resources</w:t>
      </w:r>
      <w:r w:rsidRPr="005C0B57">
        <w:rPr>
          <w:rFonts w:cs="Arial"/>
        </w:rPr>
        <w:t>—measures that address budgets, procurement, natural resources and foreign assistance;</w:t>
      </w:r>
    </w:p>
    <w:p w14:paraId="6ACB83A4" w14:textId="77777777" w:rsidR="005C0B57" w:rsidRPr="005C0B57" w:rsidRDefault="005C0B57" w:rsidP="005C0B57">
      <w:pPr>
        <w:pStyle w:val="ListParagraph"/>
        <w:widowControl w:val="0"/>
        <w:numPr>
          <w:ilvl w:val="0"/>
          <w:numId w:val="8"/>
        </w:numPr>
        <w:ind w:left="426" w:hanging="294"/>
        <w:rPr>
          <w:rFonts w:cs="Arial"/>
        </w:rPr>
      </w:pPr>
      <w:r w:rsidRPr="005C0B57">
        <w:rPr>
          <w:rFonts w:cs="Arial"/>
          <w:b/>
        </w:rPr>
        <w:t>Creating Safer Communities</w:t>
      </w:r>
      <w:r w:rsidRPr="005C0B57">
        <w:rPr>
          <w:rFonts w:cs="Arial"/>
        </w:rPr>
        <w:t>—measures that address public safety, the security sector, disaster and crisis response, and environmental threats;</w:t>
      </w:r>
    </w:p>
    <w:p w14:paraId="1C861ECB" w14:textId="77777777" w:rsidR="005C0B57" w:rsidRPr="005C0B57" w:rsidRDefault="005C0B57" w:rsidP="005C0B57">
      <w:pPr>
        <w:pStyle w:val="ListParagraph"/>
        <w:widowControl w:val="0"/>
        <w:numPr>
          <w:ilvl w:val="0"/>
          <w:numId w:val="8"/>
        </w:numPr>
        <w:ind w:left="426" w:hanging="294"/>
        <w:rPr>
          <w:rFonts w:cs="Arial"/>
        </w:rPr>
      </w:pPr>
      <w:r w:rsidRPr="005C0B57">
        <w:rPr>
          <w:rFonts w:cs="Arial"/>
          <w:b/>
        </w:rPr>
        <w:t>Increasing Corporate Accountability</w:t>
      </w:r>
      <w:r w:rsidRPr="005C0B57">
        <w:rPr>
          <w:rFonts w:cs="Arial"/>
        </w:rPr>
        <w:t>—measures that address corporate responsibility on issues such as the environment, anti-corruption, consumer protection, and community engagement.</w:t>
      </w:r>
    </w:p>
    <w:p w14:paraId="1D37A1A3" w14:textId="2F6E4E6C" w:rsidR="005C0B57" w:rsidRDefault="00F94595" w:rsidP="00CB2FE2">
      <w:pPr>
        <w:widowControl w:val="0"/>
        <w:spacing w:after="0"/>
        <w:rPr>
          <w:rFonts w:cs="Arial"/>
        </w:rPr>
      </w:pPr>
      <w:r>
        <w:rPr>
          <w:rFonts w:cs="Arial"/>
        </w:rPr>
        <w:t xml:space="preserve">The </w:t>
      </w:r>
      <w:r w:rsidR="005721AD">
        <w:rPr>
          <w:rFonts w:cs="Arial"/>
        </w:rPr>
        <w:t>Department of the Prime Minister and Cabinet</w:t>
      </w:r>
      <w:r w:rsidR="00063B70">
        <w:rPr>
          <w:rFonts w:cs="Arial"/>
        </w:rPr>
        <w:t xml:space="preserve"> originally suggested that </w:t>
      </w:r>
      <w:r w:rsidR="005C0B57" w:rsidRPr="00F15FBC">
        <w:rPr>
          <w:rFonts w:cs="Arial"/>
        </w:rPr>
        <w:t>Austral</w:t>
      </w:r>
      <w:r w:rsidR="005C0B57">
        <w:rPr>
          <w:rFonts w:cs="Arial"/>
        </w:rPr>
        <w:t>i</w:t>
      </w:r>
      <w:r w:rsidR="005C0B57" w:rsidRPr="00F15FBC">
        <w:rPr>
          <w:rFonts w:cs="Arial"/>
        </w:rPr>
        <w:t>a’s N</w:t>
      </w:r>
      <w:r w:rsidR="00063B70">
        <w:rPr>
          <w:rFonts w:cs="Arial"/>
        </w:rPr>
        <w:t xml:space="preserve">ational </w:t>
      </w:r>
      <w:r w:rsidR="005C0B57" w:rsidRPr="00F15FBC">
        <w:rPr>
          <w:rFonts w:cs="Arial"/>
        </w:rPr>
        <w:t>A</w:t>
      </w:r>
      <w:r w:rsidR="00063B70">
        <w:rPr>
          <w:rFonts w:cs="Arial"/>
        </w:rPr>
        <w:t xml:space="preserve">ction </w:t>
      </w:r>
      <w:r w:rsidR="005C0B57" w:rsidRPr="00F15FBC">
        <w:rPr>
          <w:rFonts w:cs="Arial"/>
        </w:rPr>
        <w:t>P</w:t>
      </w:r>
      <w:r w:rsidR="00063B70">
        <w:rPr>
          <w:rFonts w:cs="Arial"/>
        </w:rPr>
        <w:t>lan</w:t>
      </w:r>
      <w:r w:rsidR="005C0B57" w:rsidRPr="00F15FBC">
        <w:rPr>
          <w:rFonts w:cs="Arial"/>
        </w:rPr>
        <w:t xml:space="preserve"> focus on the themes of Improving Public Services and More Effectively Managing Public Resources.</w:t>
      </w:r>
      <w:r w:rsidR="005C0B57">
        <w:rPr>
          <w:rFonts w:cs="Arial"/>
        </w:rPr>
        <w:t xml:space="preserve"> </w:t>
      </w:r>
      <w:r w:rsidR="00EB14FC">
        <w:rPr>
          <w:rFonts w:cs="Arial"/>
        </w:rPr>
        <w:t>A broader range of grand challenges could be considered, reflecting the breadth of potential commitments the National Action Plan may address. This could be further considered by the Interim Working Group at a future meeting, once the scope of commitments is clearer.</w:t>
      </w:r>
    </w:p>
    <w:p w14:paraId="2E8D9FB4" w14:textId="77777777" w:rsidR="00063B70" w:rsidRDefault="00063B70" w:rsidP="00CB2FE2">
      <w:pPr>
        <w:widowControl w:val="0"/>
        <w:spacing w:after="0"/>
        <w:rPr>
          <w:rFonts w:cs="Arial"/>
        </w:rPr>
      </w:pPr>
    </w:p>
    <w:tbl>
      <w:tblPr>
        <w:tblStyle w:val="TableGrid"/>
        <w:tblW w:w="0" w:type="auto"/>
        <w:tblLook w:val="04A0" w:firstRow="1" w:lastRow="0" w:firstColumn="1" w:lastColumn="0" w:noHBand="0" w:noVBand="1"/>
      </w:tblPr>
      <w:tblGrid>
        <w:gridCol w:w="9242"/>
      </w:tblGrid>
      <w:tr w:rsidR="00063B70" w14:paraId="4A0B732F" w14:textId="77777777" w:rsidTr="00063B70">
        <w:tc>
          <w:tcPr>
            <w:tcW w:w="9242" w:type="dxa"/>
            <w:shd w:val="clear" w:color="auto" w:fill="DBE5F1" w:themeFill="accent1" w:themeFillTint="33"/>
          </w:tcPr>
          <w:p w14:paraId="7BCD350B" w14:textId="77777777" w:rsidR="00063B70" w:rsidRDefault="00063B70" w:rsidP="00CB2FE2">
            <w:pPr>
              <w:widowControl w:val="0"/>
              <w:rPr>
                <w:rFonts w:cs="Arial"/>
                <w:b/>
              </w:rPr>
            </w:pPr>
          </w:p>
          <w:p w14:paraId="547910E8" w14:textId="0E023524" w:rsidR="00063B70" w:rsidRDefault="003C7C63" w:rsidP="00CB2FE2">
            <w:pPr>
              <w:widowControl w:val="0"/>
              <w:rPr>
                <w:rFonts w:cs="Arial"/>
                <w:b/>
              </w:rPr>
            </w:pPr>
            <w:r>
              <w:rPr>
                <w:rFonts w:cs="Arial"/>
                <w:b/>
              </w:rPr>
              <w:t>For discussion and decision:</w:t>
            </w:r>
          </w:p>
          <w:p w14:paraId="3011540C" w14:textId="77777777" w:rsidR="00063B70" w:rsidRDefault="00063B70" w:rsidP="00CB2FE2">
            <w:pPr>
              <w:widowControl w:val="0"/>
              <w:rPr>
                <w:rFonts w:cs="Arial"/>
              </w:rPr>
            </w:pPr>
          </w:p>
          <w:p w14:paraId="62824644" w14:textId="3E83722F" w:rsidR="00063B70" w:rsidRDefault="00EB14FC" w:rsidP="00CB2FE2">
            <w:pPr>
              <w:widowControl w:val="0"/>
              <w:rPr>
                <w:rFonts w:cs="Arial"/>
              </w:rPr>
            </w:pPr>
            <w:r>
              <w:rPr>
                <w:rFonts w:cs="Arial"/>
              </w:rPr>
              <w:t xml:space="preserve">What should be the approach to deciding the grand challenges? </w:t>
            </w:r>
            <w:r w:rsidR="00063B70">
              <w:rPr>
                <w:rFonts w:cs="Arial"/>
              </w:rPr>
              <w:t xml:space="preserve"> </w:t>
            </w:r>
          </w:p>
          <w:p w14:paraId="5FC2AA48" w14:textId="50A83223" w:rsidR="00063B70" w:rsidRPr="00063B70" w:rsidRDefault="00063B70" w:rsidP="00CB2FE2">
            <w:pPr>
              <w:widowControl w:val="0"/>
              <w:rPr>
                <w:rFonts w:cs="Arial"/>
              </w:rPr>
            </w:pPr>
          </w:p>
        </w:tc>
      </w:tr>
    </w:tbl>
    <w:p w14:paraId="0A348779" w14:textId="77777777" w:rsidR="00063B70" w:rsidRDefault="00063B70" w:rsidP="00CB2FE2">
      <w:pPr>
        <w:widowControl w:val="0"/>
        <w:spacing w:after="0"/>
        <w:rPr>
          <w:rFonts w:cs="Arial"/>
        </w:rPr>
      </w:pPr>
    </w:p>
    <w:p w14:paraId="66E0524F" w14:textId="77777777" w:rsidR="00CB2FE2" w:rsidRDefault="00CB2FE2" w:rsidP="00CB2FE2">
      <w:pPr>
        <w:widowControl w:val="0"/>
        <w:spacing w:after="0"/>
        <w:rPr>
          <w:rFonts w:cs="Arial"/>
        </w:rPr>
      </w:pPr>
    </w:p>
    <w:p w14:paraId="438C01D2" w14:textId="76DDE643" w:rsidR="00AA0D54" w:rsidRPr="00AA0D54" w:rsidRDefault="00AA0D54" w:rsidP="00CB2FE2">
      <w:pPr>
        <w:pStyle w:val="ListParagraph"/>
        <w:numPr>
          <w:ilvl w:val="1"/>
          <w:numId w:val="4"/>
        </w:numPr>
        <w:ind w:left="0"/>
        <w:rPr>
          <w:b/>
          <w:sz w:val="24"/>
          <w:szCs w:val="24"/>
        </w:rPr>
      </w:pPr>
      <w:r w:rsidRPr="00AA0D54">
        <w:rPr>
          <w:b/>
          <w:sz w:val="24"/>
          <w:szCs w:val="24"/>
        </w:rPr>
        <w:t>Identification of high priority commitments</w:t>
      </w:r>
    </w:p>
    <w:p w14:paraId="513A501B" w14:textId="77777777" w:rsidR="003C7C63" w:rsidRDefault="003C7C63" w:rsidP="00CB2FE2">
      <w:pPr>
        <w:pStyle w:val="ListParagraph"/>
        <w:ind w:left="0"/>
      </w:pPr>
    </w:p>
    <w:p w14:paraId="1BE39518" w14:textId="77157909" w:rsidR="005721AD" w:rsidRDefault="005721AD" w:rsidP="005721AD">
      <w:pPr>
        <w:pStyle w:val="ListParagraph"/>
        <w:ind w:left="0"/>
      </w:pPr>
      <w:r>
        <w:t xml:space="preserve">The Terms of Reference ask the Interim Working Group to consider and prioritise commitments for potential inclusion in the National Action Plan, having </w:t>
      </w:r>
      <w:proofErr w:type="gramStart"/>
      <w:r>
        <w:t>regard</w:t>
      </w:r>
      <w:proofErr w:type="gramEnd"/>
      <w:r>
        <w:t xml:space="preserve"> to:</w:t>
      </w:r>
    </w:p>
    <w:p w14:paraId="71A28134" w14:textId="77777777" w:rsidR="005721AD" w:rsidRPr="000C12BC" w:rsidRDefault="005721AD" w:rsidP="005721AD">
      <w:pPr>
        <w:pStyle w:val="ListParagraph"/>
        <w:widowControl w:val="0"/>
        <w:numPr>
          <w:ilvl w:val="0"/>
          <w:numId w:val="8"/>
        </w:numPr>
        <w:ind w:left="426" w:hanging="294"/>
      </w:pPr>
      <w:r w:rsidRPr="00E30F05">
        <w:rPr>
          <w:rFonts w:cs="Arial"/>
        </w:rPr>
        <w:t>consistency</w:t>
      </w:r>
      <w:r>
        <w:t xml:space="preserve"> and level of priority against</w:t>
      </w:r>
      <w:r w:rsidRPr="000C12BC">
        <w:t xml:space="preserve"> the OGP principles</w:t>
      </w:r>
      <w:r>
        <w:t xml:space="preserve"> (transparency, accountability, public participation, and technology and innovation);</w:t>
      </w:r>
    </w:p>
    <w:p w14:paraId="02439AAF" w14:textId="77777777" w:rsidR="005721AD" w:rsidRPr="000C12BC" w:rsidRDefault="005721AD" w:rsidP="005721AD">
      <w:pPr>
        <w:pStyle w:val="ListParagraph"/>
        <w:widowControl w:val="0"/>
        <w:numPr>
          <w:ilvl w:val="0"/>
          <w:numId w:val="8"/>
        </w:numPr>
        <w:ind w:left="426" w:hanging="294"/>
      </w:pPr>
      <w:r w:rsidRPr="000C12BC">
        <w:t xml:space="preserve">the </w:t>
      </w:r>
      <w:r w:rsidRPr="00E30F05">
        <w:rPr>
          <w:rFonts w:cs="Arial"/>
        </w:rPr>
        <w:t>likelihood</w:t>
      </w:r>
      <w:r w:rsidRPr="000C12BC">
        <w:t xml:space="preserve"> of </w:t>
      </w:r>
      <w:r>
        <w:t xml:space="preserve">implementation </w:t>
      </w:r>
      <w:r w:rsidRPr="000C12BC">
        <w:t>success</w:t>
      </w:r>
      <w:r>
        <w:t>;</w:t>
      </w:r>
    </w:p>
    <w:p w14:paraId="7691E989" w14:textId="77777777" w:rsidR="005721AD" w:rsidRPr="000C12BC" w:rsidRDefault="005721AD" w:rsidP="005721AD">
      <w:pPr>
        <w:pStyle w:val="ListParagraph"/>
        <w:widowControl w:val="0"/>
        <w:numPr>
          <w:ilvl w:val="0"/>
          <w:numId w:val="8"/>
        </w:numPr>
        <w:ind w:left="426" w:hanging="294"/>
      </w:pPr>
      <w:r w:rsidRPr="000C12BC">
        <w:t xml:space="preserve">the </w:t>
      </w:r>
      <w:r w:rsidRPr="00E30F05">
        <w:rPr>
          <w:rFonts w:cs="Arial"/>
        </w:rPr>
        <w:t>costs</w:t>
      </w:r>
      <w:r w:rsidRPr="000C12BC">
        <w:t xml:space="preserve"> and benefits of the </w:t>
      </w:r>
      <w:r>
        <w:t>proposed commitments (including alternatives to achieve a similar outcome); and</w:t>
      </w:r>
    </w:p>
    <w:p w14:paraId="56B9354A" w14:textId="77777777" w:rsidR="005721AD" w:rsidRDefault="005721AD" w:rsidP="005721AD">
      <w:pPr>
        <w:pStyle w:val="ListParagraph"/>
        <w:widowControl w:val="0"/>
        <w:numPr>
          <w:ilvl w:val="0"/>
          <w:numId w:val="8"/>
        </w:numPr>
        <w:ind w:left="426" w:hanging="294"/>
      </w:pPr>
      <w:proofErr w:type="gramStart"/>
      <w:r>
        <w:t>the</w:t>
      </w:r>
      <w:proofErr w:type="gramEnd"/>
      <w:r>
        <w:t xml:space="preserve"> </w:t>
      </w:r>
      <w:r w:rsidRPr="00E30F05">
        <w:rPr>
          <w:rFonts w:cs="Arial"/>
        </w:rPr>
        <w:t>views</w:t>
      </w:r>
      <w:r w:rsidRPr="000C12BC">
        <w:t xml:space="preserve"> of the relevant </w:t>
      </w:r>
      <w:r>
        <w:t xml:space="preserve">Australian Government </w:t>
      </w:r>
      <w:r w:rsidRPr="000C12BC">
        <w:t>agency</w:t>
      </w:r>
      <w:r>
        <w:t>.</w:t>
      </w:r>
    </w:p>
    <w:p w14:paraId="1A3E46B4" w14:textId="77777777" w:rsidR="005721AD" w:rsidRDefault="005721AD" w:rsidP="005721AD">
      <w:pPr>
        <w:pStyle w:val="ListParagraph"/>
        <w:ind w:left="0"/>
      </w:pPr>
    </w:p>
    <w:p w14:paraId="720BBC4F" w14:textId="3D0DFB1F" w:rsidR="005721AD" w:rsidRDefault="005721AD" w:rsidP="005721AD">
      <w:pPr>
        <w:pStyle w:val="ListParagraph"/>
        <w:ind w:left="0"/>
      </w:pPr>
      <w:r>
        <w:t xml:space="preserve">The OGP’s </w:t>
      </w:r>
      <w:hyperlink r:id="rId11" w:history="1">
        <w:r w:rsidRPr="009C793A">
          <w:rPr>
            <w:rStyle w:val="Hyperlink"/>
          </w:rPr>
          <w:t>Government Point of Contact Manual</w:t>
        </w:r>
      </w:hyperlink>
      <w:r>
        <w:t xml:space="preserve"> </w:t>
      </w:r>
      <w:r w:rsidR="003E551B">
        <w:t xml:space="preserve">contains guidance on drafting National Action Plan commitments, as well as guidance on consultation and information about OGP timeframes. It </w:t>
      </w:r>
      <w:r>
        <w:t>suggests that National Action Plans should include 5 – 15 high quality commitments spread over multiple themes.</w:t>
      </w:r>
      <w:r w:rsidRPr="005721AD">
        <w:t xml:space="preserve"> </w:t>
      </w:r>
      <w:r w:rsidRPr="003C7C63">
        <w:t xml:space="preserve">The </w:t>
      </w:r>
      <w:r>
        <w:t>OGP team have collated all stakeholder suggestions for commitments (collected between November 2015 and April 2016)</w:t>
      </w:r>
      <w:r w:rsidR="006B23D6">
        <w:t xml:space="preserve"> </w:t>
      </w:r>
      <w:r>
        <w:t xml:space="preserve">in the attached summary. </w:t>
      </w:r>
    </w:p>
    <w:p w14:paraId="622B33AA" w14:textId="77777777" w:rsidR="005721AD" w:rsidRDefault="005721AD" w:rsidP="005721AD">
      <w:pPr>
        <w:pStyle w:val="ListParagraph"/>
        <w:ind w:left="0"/>
      </w:pPr>
    </w:p>
    <w:p w14:paraId="45200888" w14:textId="230B1CDD" w:rsidR="003C7C63" w:rsidRDefault="003C7C63" w:rsidP="00AA0D54">
      <w:pPr>
        <w:pStyle w:val="ListParagraph"/>
        <w:ind w:left="0"/>
      </w:pPr>
      <w:r w:rsidRPr="003C7C63">
        <w:t xml:space="preserve">The </w:t>
      </w:r>
      <w:hyperlink r:id="rId12" w:history="1">
        <w:r w:rsidRPr="002A22F7">
          <w:rPr>
            <w:rStyle w:val="Hyperlink"/>
          </w:rPr>
          <w:t xml:space="preserve">full text of </w:t>
        </w:r>
        <w:r w:rsidR="00E30F05" w:rsidRPr="002A22F7">
          <w:rPr>
            <w:rStyle w:val="Hyperlink"/>
          </w:rPr>
          <w:t xml:space="preserve">public </w:t>
        </w:r>
        <w:r w:rsidRPr="002A22F7">
          <w:rPr>
            <w:rStyle w:val="Hyperlink"/>
          </w:rPr>
          <w:t>submissions</w:t>
        </w:r>
      </w:hyperlink>
      <w:r>
        <w:t xml:space="preserve"> </w:t>
      </w:r>
      <w:r w:rsidR="00E30F05">
        <w:t xml:space="preserve">is </w:t>
      </w:r>
      <w:r>
        <w:t xml:space="preserve">available </w:t>
      </w:r>
      <w:r w:rsidR="002A22F7">
        <w:t>on the Australian OGP blog.</w:t>
      </w:r>
      <w:r w:rsidR="009703EA">
        <w:t xml:space="preserve"> </w:t>
      </w:r>
      <w:r w:rsidR="00F94595">
        <w:t>The Australian Open Government Partnership Civil Society Network ha</w:t>
      </w:r>
      <w:r w:rsidR="00825512">
        <w:t>s</w:t>
      </w:r>
      <w:r w:rsidR="00F94595">
        <w:t xml:space="preserve"> also released</w:t>
      </w:r>
      <w:r w:rsidR="00825512">
        <w:t xml:space="preserve"> the </w:t>
      </w:r>
      <w:hyperlink r:id="rId13" w:history="1">
        <w:r w:rsidR="00825512" w:rsidRPr="00825512">
          <w:rPr>
            <w:rStyle w:val="Hyperlink"/>
          </w:rPr>
          <w:t>Towards an Open Government Manifesto</w:t>
        </w:r>
      </w:hyperlink>
      <w:r w:rsidR="00825512">
        <w:t xml:space="preserve">, which contains thirteen </w:t>
      </w:r>
      <w:r w:rsidR="005721AD">
        <w:t xml:space="preserve">priority </w:t>
      </w:r>
      <w:r w:rsidR="00825512">
        <w:t>commitments for further consideration by Government and civil society.</w:t>
      </w:r>
    </w:p>
    <w:p w14:paraId="523026AF" w14:textId="77777777" w:rsidR="00E30F05" w:rsidRDefault="00E30F05" w:rsidP="00AA0D54">
      <w:pPr>
        <w:pStyle w:val="ListParagraph"/>
        <w:ind w:left="0"/>
      </w:pPr>
    </w:p>
    <w:p w14:paraId="3D16C1E2" w14:textId="1DAF441F" w:rsidR="00724FBE" w:rsidRDefault="00DB1EF1" w:rsidP="00AA0D54">
      <w:pPr>
        <w:pStyle w:val="ListParagraph"/>
        <w:ind w:left="0"/>
      </w:pPr>
      <w:r>
        <w:t xml:space="preserve">Based on the commitments suggested though the consultation process </w:t>
      </w:r>
      <w:r w:rsidR="005721AD">
        <w:t xml:space="preserve">(including the workshop in April 2016) </w:t>
      </w:r>
      <w:r>
        <w:t>and f</w:t>
      </w:r>
      <w:r w:rsidR="00CB2FE2">
        <w:t>ollowing</w:t>
      </w:r>
      <w:r w:rsidR="009C793A">
        <w:t xml:space="preserve"> </w:t>
      </w:r>
      <w:r>
        <w:t>initial discussions with responsible government agencies</w:t>
      </w:r>
      <w:r w:rsidR="009C793A">
        <w:t xml:space="preserve">, </w:t>
      </w:r>
      <w:r w:rsidR="002A22F7">
        <w:t xml:space="preserve">the </w:t>
      </w:r>
      <w:r w:rsidR="005721AD">
        <w:rPr>
          <w:rFonts w:cs="Arial"/>
        </w:rPr>
        <w:t xml:space="preserve">Department of the Prime Minister and Cabinet has identified the </w:t>
      </w:r>
      <w:r w:rsidR="002A22F7">
        <w:t xml:space="preserve">following </w:t>
      </w:r>
      <w:r w:rsidR="005721AD">
        <w:t>areas for further discussion with the Interim Working Group</w:t>
      </w:r>
      <w:r w:rsidR="002A22F7">
        <w:t>:</w:t>
      </w:r>
    </w:p>
    <w:p w14:paraId="669620E6" w14:textId="77777777" w:rsidR="002A22F7" w:rsidRDefault="002A22F7" w:rsidP="00AA0D54">
      <w:pPr>
        <w:pStyle w:val="ListParagraph"/>
        <w:ind w:left="0"/>
      </w:pPr>
    </w:p>
    <w:p w14:paraId="4F49AECD" w14:textId="23E6959E" w:rsidR="002A22F7" w:rsidRDefault="005721AD" w:rsidP="002A22F7">
      <w:pPr>
        <w:pStyle w:val="ListParagraph"/>
        <w:widowControl w:val="0"/>
        <w:numPr>
          <w:ilvl w:val="0"/>
          <w:numId w:val="8"/>
        </w:numPr>
        <w:ind w:left="426" w:hanging="294"/>
      </w:pPr>
      <w:r>
        <w:t>Finalise</w:t>
      </w:r>
      <w:r w:rsidR="002A22F7">
        <w:t xml:space="preserve"> Australia’s membership to the </w:t>
      </w:r>
      <w:r w:rsidR="002A22F7" w:rsidRPr="002A22F7">
        <w:rPr>
          <w:b/>
        </w:rPr>
        <w:t>Extractive Industries Transparency Initiative</w:t>
      </w:r>
      <w:r w:rsidR="002A22F7">
        <w:t xml:space="preserve">. </w:t>
      </w:r>
    </w:p>
    <w:p w14:paraId="28791789" w14:textId="77777777" w:rsidR="002A22F7" w:rsidRDefault="002A22F7" w:rsidP="002A22F7">
      <w:pPr>
        <w:pStyle w:val="ListParagraph"/>
        <w:widowControl w:val="0"/>
        <w:ind w:left="426"/>
      </w:pPr>
    </w:p>
    <w:p w14:paraId="70E9ECE1" w14:textId="51B92AFF" w:rsidR="002A22F7" w:rsidRDefault="002A22F7" w:rsidP="002A22F7">
      <w:pPr>
        <w:pStyle w:val="ListParagraph"/>
        <w:widowControl w:val="0"/>
        <w:numPr>
          <w:ilvl w:val="0"/>
          <w:numId w:val="8"/>
        </w:numPr>
        <w:ind w:left="426" w:hanging="294"/>
      </w:pPr>
      <w:r>
        <w:t xml:space="preserve">Explore options for a </w:t>
      </w:r>
      <w:r>
        <w:rPr>
          <w:b/>
        </w:rPr>
        <w:t>beneficial ownership register for companies</w:t>
      </w:r>
      <w:r>
        <w:t>.</w:t>
      </w:r>
    </w:p>
    <w:p w14:paraId="5C67967F" w14:textId="683ED9B3" w:rsidR="003E551B" w:rsidRDefault="003E551B" w:rsidP="003E551B">
      <w:r>
        <w:t xml:space="preserve">Note: Australia </w:t>
      </w:r>
      <w:hyperlink r:id="rId14" w:history="1">
        <w:r w:rsidRPr="00A45FDF">
          <w:rPr>
            <w:rStyle w:val="Hyperlink"/>
          </w:rPr>
          <w:t>committed</w:t>
        </w:r>
      </w:hyperlink>
      <w:r>
        <w:t xml:space="preserve"> to the Extractive Industries Transparency Initiative and </w:t>
      </w:r>
      <w:r w:rsidR="009703EA">
        <w:t xml:space="preserve">to exploring </w:t>
      </w:r>
      <w:r>
        <w:t xml:space="preserve">options for a </w:t>
      </w:r>
      <w:r w:rsidRPr="003E551B">
        <w:t xml:space="preserve">beneficial ownership register </w:t>
      </w:r>
      <w:r>
        <w:t xml:space="preserve">as part of the </w:t>
      </w:r>
      <w:r w:rsidR="00A45FDF">
        <w:t>UK Anti-Corruption Summit in May 2016. No commitments have been made around timeframes and milestones for these initiatives.</w:t>
      </w:r>
    </w:p>
    <w:p w14:paraId="46309B0D" w14:textId="2D24EA53" w:rsidR="002A22F7" w:rsidRDefault="001262C8" w:rsidP="002A22F7">
      <w:pPr>
        <w:pStyle w:val="ListParagraph"/>
        <w:widowControl w:val="0"/>
        <w:numPr>
          <w:ilvl w:val="0"/>
          <w:numId w:val="8"/>
        </w:numPr>
        <w:ind w:left="426" w:hanging="294"/>
      </w:pPr>
      <w:r>
        <w:t xml:space="preserve">Assess Australia’s </w:t>
      </w:r>
      <w:r w:rsidR="00225D28">
        <w:t xml:space="preserve">compliance with the </w:t>
      </w:r>
      <w:r w:rsidR="00225D28" w:rsidRPr="00225D28">
        <w:rPr>
          <w:b/>
        </w:rPr>
        <w:t xml:space="preserve">Open Contracting </w:t>
      </w:r>
      <w:r w:rsidR="005721AD">
        <w:rPr>
          <w:b/>
        </w:rPr>
        <w:t xml:space="preserve">Data </w:t>
      </w:r>
      <w:r w:rsidR="00225D28" w:rsidRPr="00225D28">
        <w:rPr>
          <w:b/>
        </w:rPr>
        <w:t>Standard</w:t>
      </w:r>
      <w:r w:rsidR="00225D28">
        <w:t>.</w:t>
      </w:r>
    </w:p>
    <w:p w14:paraId="2620F1EB" w14:textId="77777777" w:rsidR="00225D28" w:rsidRDefault="00225D28" w:rsidP="00225D28">
      <w:pPr>
        <w:pStyle w:val="ListParagraph"/>
      </w:pPr>
    </w:p>
    <w:p w14:paraId="40781432" w14:textId="4CF41A12" w:rsidR="00DB1EF1" w:rsidRPr="00DB1EF1" w:rsidRDefault="00DB1EF1" w:rsidP="002A22F7">
      <w:pPr>
        <w:pStyle w:val="ListParagraph"/>
        <w:widowControl w:val="0"/>
        <w:numPr>
          <w:ilvl w:val="0"/>
          <w:numId w:val="8"/>
        </w:numPr>
        <w:ind w:left="426" w:hanging="294"/>
      </w:pPr>
      <w:r>
        <w:t xml:space="preserve">Explore </w:t>
      </w:r>
      <w:r>
        <w:rPr>
          <w:b/>
        </w:rPr>
        <w:t>options to improve public participation and engagement</w:t>
      </w:r>
      <w:r>
        <w:t xml:space="preserve"> in </w:t>
      </w:r>
      <w:r w:rsidR="005721AD">
        <w:t>Commonwealth</w:t>
      </w:r>
      <w:r>
        <w:t xml:space="preserve"> policy </w:t>
      </w:r>
      <w:r w:rsidR="005721AD">
        <w:t xml:space="preserve">development and </w:t>
      </w:r>
      <w:r>
        <w:t>decision-making.</w:t>
      </w:r>
    </w:p>
    <w:p w14:paraId="59ABA6F1" w14:textId="77777777" w:rsidR="00DB1EF1" w:rsidRPr="00DB1EF1" w:rsidRDefault="00DB1EF1" w:rsidP="00DB1EF1">
      <w:pPr>
        <w:pStyle w:val="ListParagraph"/>
        <w:rPr>
          <w:b/>
        </w:rPr>
      </w:pPr>
    </w:p>
    <w:p w14:paraId="5DC2859C" w14:textId="73E6632E" w:rsidR="002E7ABE" w:rsidRDefault="003E551B" w:rsidP="002A22F7">
      <w:pPr>
        <w:pStyle w:val="ListParagraph"/>
        <w:widowControl w:val="0"/>
        <w:numPr>
          <w:ilvl w:val="0"/>
          <w:numId w:val="8"/>
        </w:numPr>
        <w:ind w:left="426" w:hanging="294"/>
      </w:pPr>
      <w:r>
        <w:rPr>
          <w:b/>
        </w:rPr>
        <w:t>Improve</w:t>
      </w:r>
      <w:r w:rsidR="002E7ABE" w:rsidRPr="002E7ABE">
        <w:rPr>
          <w:b/>
        </w:rPr>
        <w:t xml:space="preserve"> whistle</w:t>
      </w:r>
      <w:r w:rsidR="00122D2B">
        <w:rPr>
          <w:b/>
        </w:rPr>
        <w:t>-</w:t>
      </w:r>
      <w:r w:rsidR="002E7ABE" w:rsidRPr="002E7ABE">
        <w:rPr>
          <w:b/>
        </w:rPr>
        <w:t>blowers</w:t>
      </w:r>
      <w:r w:rsidR="002E7ABE">
        <w:t xml:space="preserve"> </w:t>
      </w:r>
      <w:r w:rsidR="002E7ABE" w:rsidRPr="002E7ABE">
        <w:rPr>
          <w:b/>
        </w:rPr>
        <w:t xml:space="preserve">protections </w:t>
      </w:r>
      <w:r w:rsidR="005721AD" w:rsidRPr="005721AD">
        <w:t>in the corporate sector,</w:t>
      </w:r>
      <w:r w:rsidR="005721AD">
        <w:rPr>
          <w:b/>
        </w:rPr>
        <w:t xml:space="preserve"> </w:t>
      </w:r>
      <w:r w:rsidR="005721AD">
        <w:t xml:space="preserve">noting the Government’s commitment to improve protections for </w:t>
      </w:r>
      <w:r w:rsidR="00C32701">
        <w:t xml:space="preserve">whistle-blowers who report </w:t>
      </w:r>
      <w:r w:rsidR="002E7ABE" w:rsidRPr="002E7ABE">
        <w:t>tax misconduct to the Australian Taxation Office</w:t>
      </w:r>
      <w:r w:rsidR="002E7ABE">
        <w:t>.</w:t>
      </w:r>
    </w:p>
    <w:p w14:paraId="4F1E37C0" w14:textId="77777777" w:rsidR="002E7ABE" w:rsidRDefault="002E7ABE" w:rsidP="002E7ABE">
      <w:pPr>
        <w:pStyle w:val="ListParagraph"/>
      </w:pPr>
    </w:p>
    <w:p w14:paraId="785854AB" w14:textId="06140E5F" w:rsidR="002E7ABE" w:rsidRDefault="002E7ABE" w:rsidP="002A22F7">
      <w:pPr>
        <w:pStyle w:val="ListParagraph"/>
        <w:widowControl w:val="0"/>
        <w:numPr>
          <w:ilvl w:val="0"/>
          <w:numId w:val="8"/>
        </w:numPr>
        <w:ind w:left="426" w:hanging="294"/>
      </w:pPr>
      <w:r w:rsidRPr="002E7ABE">
        <w:rPr>
          <w:b/>
        </w:rPr>
        <w:t>Create, manage and preserve informational digitally</w:t>
      </w:r>
      <w:r>
        <w:t xml:space="preserve"> to support transparency, accountability and citizen engagement.</w:t>
      </w:r>
    </w:p>
    <w:p w14:paraId="4FB6A7E1" w14:textId="77777777" w:rsidR="002E7792" w:rsidRDefault="002E7792" w:rsidP="002E7792">
      <w:pPr>
        <w:pStyle w:val="ListParagraph"/>
      </w:pPr>
    </w:p>
    <w:p w14:paraId="516BE1C7" w14:textId="77777777" w:rsidR="00DB1EF1" w:rsidRDefault="00DB1EF1" w:rsidP="00DB1EF1">
      <w:pPr>
        <w:pStyle w:val="ListParagraph"/>
        <w:widowControl w:val="0"/>
        <w:numPr>
          <w:ilvl w:val="0"/>
          <w:numId w:val="8"/>
        </w:numPr>
        <w:ind w:left="426" w:hanging="294"/>
      </w:pPr>
      <w:r>
        <w:t xml:space="preserve">Improve the </w:t>
      </w:r>
      <w:r>
        <w:rPr>
          <w:b/>
        </w:rPr>
        <w:t>availability and use of public data</w:t>
      </w:r>
      <w:r>
        <w:t>.</w:t>
      </w:r>
    </w:p>
    <w:p w14:paraId="32C16623" w14:textId="77777777" w:rsidR="00DB1EF1" w:rsidRDefault="00DB1EF1" w:rsidP="00DB1EF1">
      <w:pPr>
        <w:pStyle w:val="ListParagraph"/>
        <w:widowControl w:val="0"/>
        <w:ind w:left="426"/>
      </w:pPr>
    </w:p>
    <w:p w14:paraId="1B922FB4" w14:textId="77777777" w:rsidR="000873F6" w:rsidRDefault="000873F6" w:rsidP="000873F6">
      <w:pPr>
        <w:pStyle w:val="ListParagraph"/>
        <w:widowControl w:val="0"/>
        <w:numPr>
          <w:ilvl w:val="0"/>
          <w:numId w:val="8"/>
        </w:numPr>
        <w:ind w:left="426" w:hanging="294"/>
      </w:pPr>
      <w:r>
        <w:t xml:space="preserve">Establish a </w:t>
      </w:r>
      <w:r w:rsidRPr="002E7ABE">
        <w:rPr>
          <w:b/>
        </w:rPr>
        <w:t>permanent mechanism for OGP consultation</w:t>
      </w:r>
      <w:r>
        <w:t xml:space="preserve"> during implementation of the National Action Plan.</w:t>
      </w:r>
    </w:p>
    <w:p w14:paraId="0D9FD98E" w14:textId="77777777" w:rsidR="002E7792" w:rsidRDefault="002E7792" w:rsidP="002E7792">
      <w:pPr>
        <w:pStyle w:val="ListParagraph"/>
      </w:pPr>
    </w:p>
    <w:p w14:paraId="6D484265" w14:textId="64ECBBD4" w:rsidR="00C32701" w:rsidRPr="00C32701" w:rsidRDefault="00C32701" w:rsidP="002A22F7">
      <w:pPr>
        <w:pStyle w:val="ListParagraph"/>
        <w:widowControl w:val="0"/>
        <w:numPr>
          <w:ilvl w:val="0"/>
          <w:numId w:val="8"/>
        </w:numPr>
        <w:ind w:left="426" w:hanging="294"/>
      </w:pPr>
      <w:r w:rsidRPr="00C32701">
        <w:t xml:space="preserve">Establish metrics </w:t>
      </w:r>
      <w:r>
        <w:t xml:space="preserve">to </w:t>
      </w:r>
      <w:r w:rsidRPr="00C32701">
        <w:rPr>
          <w:b/>
        </w:rPr>
        <w:t>assess public utilisation of information access rights</w:t>
      </w:r>
      <w:r>
        <w:t>.</w:t>
      </w:r>
    </w:p>
    <w:p w14:paraId="08281B40" w14:textId="77777777" w:rsidR="00C32701" w:rsidRPr="00C32701" w:rsidRDefault="00C32701" w:rsidP="00C32701">
      <w:pPr>
        <w:pStyle w:val="ListParagraph"/>
        <w:rPr>
          <w:color w:val="FF0000"/>
        </w:rPr>
      </w:pPr>
    </w:p>
    <w:p w14:paraId="36B6CCDD" w14:textId="6AA28D74" w:rsidR="00C32701" w:rsidRDefault="007511D4" w:rsidP="002A22F7">
      <w:pPr>
        <w:pStyle w:val="ListParagraph"/>
        <w:widowControl w:val="0"/>
        <w:numPr>
          <w:ilvl w:val="0"/>
          <w:numId w:val="8"/>
        </w:numPr>
        <w:ind w:left="426" w:hanging="294"/>
        <w:rPr>
          <w:color w:val="FF0000"/>
        </w:rPr>
      </w:pPr>
      <w:r w:rsidRPr="007511D4">
        <w:t xml:space="preserve">Improve </w:t>
      </w:r>
      <w:r w:rsidRPr="007511D4">
        <w:rPr>
          <w:b/>
        </w:rPr>
        <w:t>disclosure of grants information</w:t>
      </w:r>
      <w:r>
        <w:rPr>
          <w:b/>
        </w:rPr>
        <w:t>.</w:t>
      </w:r>
    </w:p>
    <w:p w14:paraId="1DDE0D62" w14:textId="77777777" w:rsidR="00C32701" w:rsidRPr="00C32701" w:rsidRDefault="00C32701" w:rsidP="00C32701">
      <w:pPr>
        <w:pStyle w:val="ListParagraph"/>
        <w:rPr>
          <w:color w:val="FF0000"/>
        </w:rPr>
      </w:pPr>
    </w:p>
    <w:p w14:paraId="402BEFB8" w14:textId="2367B4DB" w:rsidR="00DA3832" w:rsidRDefault="007511D4" w:rsidP="002A22F7">
      <w:pPr>
        <w:pStyle w:val="ListParagraph"/>
        <w:widowControl w:val="0"/>
        <w:numPr>
          <w:ilvl w:val="0"/>
          <w:numId w:val="8"/>
        </w:numPr>
        <w:ind w:left="426" w:hanging="294"/>
        <w:rPr>
          <w:color w:val="FF0000"/>
        </w:rPr>
      </w:pPr>
      <w:r w:rsidRPr="007511D4">
        <w:t xml:space="preserve">Support government agencies to </w:t>
      </w:r>
      <w:r w:rsidRPr="007511D4">
        <w:rPr>
          <w:b/>
        </w:rPr>
        <w:t>digitally transform high volume services</w:t>
      </w:r>
      <w:r w:rsidRPr="007511D4">
        <w:t>.</w:t>
      </w:r>
    </w:p>
    <w:p w14:paraId="70983EC8" w14:textId="77777777" w:rsidR="00DA3832" w:rsidRPr="00DA3832" w:rsidRDefault="00DA3832" w:rsidP="00DA3832">
      <w:pPr>
        <w:pStyle w:val="ListParagraph"/>
        <w:rPr>
          <w:color w:val="FF0000"/>
        </w:rPr>
      </w:pPr>
    </w:p>
    <w:p w14:paraId="44B6726B" w14:textId="60A69BB5" w:rsidR="00C32701" w:rsidRDefault="00C32701" w:rsidP="00AA0D54">
      <w:pPr>
        <w:pStyle w:val="ListParagraph"/>
        <w:ind w:left="0"/>
      </w:pPr>
      <w:r>
        <w:t xml:space="preserve">This list is intended to </w:t>
      </w:r>
      <w:r w:rsidR="003E551B">
        <w:t xml:space="preserve">act as a starting point to </w:t>
      </w:r>
      <w:r>
        <w:t xml:space="preserve">facilitate discussion by the Interim Working Group when considering commitments to include in the National Action Plan. </w:t>
      </w:r>
      <w:r w:rsidR="00DB1EF1">
        <w:t xml:space="preserve">We welcome the Interim Working Group’s views on these and any other potential commitments. </w:t>
      </w:r>
      <w:r w:rsidR="00EB14FC">
        <w:t>Once the broad scope of commitments is agreed, the detail of these commitments (including the text to be included in the National Action Plan) can be discussed at future meetings.</w:t>
      </w:r>
    </w:p>
    <w:p w14:paraId="7408AEDB" w14:textId="77777777" w:rsidR="00C32701" w:rsidRDefault="00C32701" w:rsidP="00AA0D54">
      <w:pPr>
        <w:pStyle w:val="ListParagraph"/>
        <w:ind w:left="0"/>
      </w:pPr>
      <w:bookmarkStart w:id="0" w:name="_GoBack"/>
      <w:bookmarkEnd w:id="0"/>
    </w:p>
    <w:p w14:paraId="59B19A75" w14:textId="603E6922" w:rsidR="00E30F05" w:rsidRDefault="00724FBE" w:rsidP="00AA0D54">
      <w:pPr>
        <w:pStyle w:val="ListParagraph"/>
        <w:ind w:left="0"/>
      </w:pPr>
      <w:r>
        <w:t xml:space="preserve">Additional commitments may </w:t>
      </w:r>
      <w:r w:rsidR="00DB1EF1">
        <w:t xml:space="preserve">also </w:t>
      </w:r>
      <w:r>
        <w:t>be proposed and considered throughout the National Action Plan development process.</w:t>
      </w:r>
      <w:r w:rsidR="00EB14FC">
        <w:t xml:space="preserve"> </w:t>
      </w:r>
    </w:p>
    <w:tbl>
      <w:tblPr>
        <w:tblStyle w:val="TableGrid"/>
        <w:tblW w:w="0" w:type="auto"/>
        <w:tblLook w:val="04A0" w:firstRow="1" w:lastRow="0" w:firstColumn="1" w:lastColumn="0" w:noHBand="0" w:noVBand="1"/>
      </w:tblPr>
      <w:tblGrid>
        <w:gridCol w:w="9242"/>
      </w:tblGrid>
      <w:tr w:rsidR="00E30F05" w14:paraId="09D1C3FD" w14:textId="77777777" w:rsidTr="00F84408">
        <w:tc>
          <w:tcPr>
            <w:tcW w:w="9242" w:type="dxa"/>
            <w:shd w:val="clear" w:color="auto" w:fill="DBE5F1" w:themeFill="accent1" w:themeFillTint="33"/>
          </w:tcPr>
          <w:p w14:paraId="5B1B1CA1" w14:textId="77777777" w:rsidR="00E30F05" w:rsidRDefault="00E30F05" w:rsidP="00F84408">
            <w:pPr>
              <w:keepNext/>
              <w:keepLines/>
              <w:widowControl w:val="0"/>
              <w:rPr>
                <w:rFonts w:cs="Arial"/>
                <w:b/>
              </w:rPr>
            </w:pPr>
          </w:p>
          <w:p w14:paraId="3A263E3B" w14:textId="77777777" w:rsidR="00E30F05" w:rsidRDefault="00E30F05" w:rsidP="00F84408">
            <w:pPr>
              <w:keepNext/>
              <w:keepLines/>
              <w:widowControl w:val="0"/>
              <w:rPr>
                <w:rFonts w:cs="Arial"/>
                <w:b/>
              </w:rPr>
            </w:pPr>
            <w:r>
              <w:rPr>
                <w:rFonts w:cs="Arial"/>
                <w:b/>
              </w:rPr>
              <w:t>For discussion and decision:</w:t>
            </w:r>
          </w:p>
          <w:p w14:paraId="682E2CEE" w14:textId="77777777" w:rsidR="00E30F05" w:rsidRDefault="00E30F05" w:rsidP="00F84408">
            <w:pPr>
              <w:keepNext/>
              <w:keepLines/>
              <w:widowControl w:val="0"/>
              <w:rPr>
                <w:rFonts w:cs="Arial"/>
              </w:rPr>
            </w:pPr>
          </w:p>
          <w:p w14:paraId="4E7E9BF3" w14:textId="3875A647" w:rsidR="00E30F05" w:rsidRDefault="00724FBE" w:rsidP="00F84408">
            <w:pPr>
              <w:keepNext/>
              <w:keepLines/>
              <w:widowControl w:val="0"/>
              <w:rPr>
                <w:rFonts w:cs="Arial"/>
              </w:rPr>
            </w:pPr>
            <w:r>
              <w:t xml:space="preserve">Which commitments should be </w:t>
            </w:r>
            <w:r w:rsidR="009C793A">
              <w:t>considered</w:t>
            </w:r>
            <w:r>
              <w:t xml:space="preserve"> for further exploration and consultation</w:t>
            </w:r>
            <w:r w:rsidR="00E30F05">
              <w:rPr>
                <w:rFonts w:cs="Arial"/>
              </w:rPr>
              <w:t>?</w:t>
            </w:r>
          </w:p>
          <w:p w14:paraId="6A318BEC" w14:textId="77777777" w:rsidR="00E30F05" w:rsidRPr="00063B70" w:rsidRDefault="00E30F05" w:rsidP="00F84408">
            <w:pPr>
              <w:keepNext/>
              <w:keepLines/>
              <w:widowControl w:val="0"/>
              <w:rPr>
                <w:rFonts w:cs="Arial"/>
              </w:rPr>
            </w:pPr>
          </w:p>
        </w:tc>
      </w:tr>
    </w:tbl>
    <w:p w14:paraId="78F41262" w14:textId="77777777" w:rsidR="003C7C63" w:rsidRDefault="003C7C63" w:rsidP="00AA0D54">
      <w:pPr>
        <w:pStyle w:val="ListParagraph"/>
        <w:ind w:left="0"/>
        <w:rPr>
          <w:b/>
          <w:sz w:val="24"/>
          <w:szCs w:val="24"/>
        </w:rPr>
      </w:pPr>
    </w:p>
    <w:p w14:paraId="3EE782C0" w14:textId="77777777" w:rsidR="00AA0D54" w:rsidRPr="00AA0D54" w:rsidRDefault="00AA0D54" w:rsidP="00AA0D54">
      <w:pPr>
        <w:pStyle w:val="ListParagraph"/>
        <w:numPr>
          <w:ilvl w:val="1"/>
          <w:numId w:val="4"/>
        </w:numPr>
        <w:ind w:left="0"/>
        <w:rPr>
          <w:b/>
          <w:sz w:val="24"/>
          <w:szCs w:val="24"/>
        </w:rPr>
      </w:pPr>
      <w:r w:rsidRPr="00AA0D54">
        <w:rPr>
          <w:b/>
          <w:sz w:val="24"/>
          <w:szCs w:val="24"/>
        </w:rPr>
        <w:t>Structure of the National Action Plan</w:t>
      </w:r>
    </w:p>
    <w:p w14:paraId="58BF5332" w14:textId="77777777" w:rsidR="00AA0D54" w:rsidRDefault="00AA0D54" w:rsidP="00AA0D54">
      <w:pPr>
        <w:pStyle w:val="ListParagraph"/>
        <w:ind w:left="0"/>
        <w:rPr>
          <w:b/>
          <w:sz w:val="24"/>
          <w:szCs w:val="24"/>
        </w:rPr>
      </w:pPr>
    </w:p>
    <w:p w14:paraId="7D017C1A" w14:textId="1C2BC6F6" w:rsidR="00724FBE" w:rsidRPr="00724FBE" w:rsidRDefault="00724FBE" w:rsidP="00724FBE">
      <w:pPr>
        <w:pStyle w:val="ListParagraph"/>
        <w:spacing w:after="0"/>
        <w:ind w:left="0"/>
      </w:pPr>
      <w:r w:rsidRPr="00724FBE">
        <w:t xml:space="preserve">It is proposed </w:t>
      </w:r>
      <w:r>
        <w:t xml:space="preserve">that Australia’s National Action Plan follow the </w:t>
      </w:r>
      <w:hyperlink r:id="rId15" w:history="1">
        <w:r w:rsidRPr="00724FBE">
          <w:rPr>
            <w:rStyle w:val="Hyperlink"/>
          </w:rPr>
          <w:t>template</w:t>
        </w:r>
      </w:hyperlink>
      <w:r>
        <w:t xml:space="preserve"> provided by the </w:t>
      </w:r>
      <w:r w:rsidR="00915DE9">
        <w:t>OGP</w:t>
      </w:r>
      <w:r>
        <w:t>.</w:t>
      </w:r>
    </w:p>
    <w:p w14:paraId="65BE2C8C" w14:textId="77777777" w:rsidR="00933156" w:rsidRDefault="00933156" w:rsidP="00933156">
      <w:pPr>
        <w:pStyle w:val="ListParagraph"/>
        <w:spacing w:after="0"/>
        <w:ind w:left="0"/>
      </w:pPr>
    </w:p>
    <w:p w14:paraId="6D2EBFC3" w14:textId="17957248" w:rsidR="00AA0D54" w:rsidRPr="00933156" w:rsidRDefault="00933156" w:rsidP="00933156">
      <w:pPr>
        <w:pStyle w:val="ListParagraph"/>
        <w:spacing w:after="0"/>
        <w:ind w:left="0"/>
      </w:pPr>
      <w:r w:rsidRPr="00933156">
        <w:t>The template has four sections:</w:t>
      </w:r>
    </w:p>
    <w:p w14:paraId="221DA8BC" w14:textId="5F2BCBBB" w:rsidR="00933156" w:rsidRPr="000C12BC" w:rsidRDefault="00933156" w:rsidP="00933156">
      <w:pPr>
        <w:pStyle w:val="ListParagraph"/>
        <w:widowControl w:val="0"/>
        <w:numPr>
          <w:ilvl w:val="0"/>
          <w:numId w:val="8"/>
        </w:numPr>
        <w:ind w:left="426" w:hanging="294"/>
      </w:pPr>
      <w:r>
        <w:rPr>
          <w:rFonts w:cs="Arial"/>
        </w:rPr>
        <w:t>introduction</w:t>
      </w:r>
      <w:r>
        <w:t>;</w:t>
      </w:r>
    </w:p>
    <w:p w14:paraId="66DEFAA7" w14:textId="3D11CD00" w:rsidR="00933156" w:rsidRDefault="00933156" w:rsidP="00933156">
      <w:pPr>
        <w:pStyle w:val="ListParagraph"/>
        <w:widowControl w:val="0"/>
        <w:numPr>
          <w:ilvl w:val="0"/>
          <w:numId w:val="8"/>
        </w:numPr>
        <w:ind w:left="426" w:hanging="294"/>
      </w:pPr>
      <w:r>
        <w:t>open government efforts to date;</w:t>
      </w:r>
    </w:p>
    <w:p w14:paraId="6EF25828" w14:textId="3CEDC171" w:rsidR="00933156" w:rsidRDefault="00933156" w:rsidP="00933156">
      <w:pPr>
        <w:pStyle w:val="ListParagraph"/>
        <w:widowControl w:val="0"/>
        <w:numPr>
          <w:ilvl w:val="0"/>
          <w:numId w:val="8"/>
        </w:numPr>
        <w:ind w:left="426" w:hanging="294"/>
      </w:pPr>
      <w:r>
        <w:t>National Action Plan development process; and</w:t>
      </w:r>
    </w:p>
    <w:p w14:paraId="622CEA98" w14:textId="2FA08A7E" w:rsidR="00933156" w:rsidRDefault="00933156" w:rsidP="00933156">
      <w:pPr>
        <w:pStyle w:val="ListParagraph"/>
        <w:widowControl w:val="0"/>
        <w:numPr>
          <w:ilvl w:val="0"/>
          <w:numId w:val="8"/>
        </w:numPr>
        <w:ind w:left="426" w:hanging="294"/>
      </w:pPr>
      <w:proofErr w:type="gramStart"/>
      <w:r>
        <w:t>commitments</w:t>
      </w:r>
      <w:proofErr w:type="gramEnd"/>
      <w:r>
        <w:t>.</w:t>
      </w:r>
    </w:p>
    <w:p w14:paraId="220B67A6" w14:textId="68EEAA1A" w:rsidR="002E7792" w:rsidRDefault="00933156" w:rsidP="00933156">
      <w:pPr>
        <w:widowControl w:val="0"/>
      </w:pPr>
      <w:r>
        <w:t xml:space="preserve">Interim Working Group members are encouraged to provide input </w:t>
      </w:r>
      <w:r w:rsidR="00C32701">
        <w:t xml:space="preserve">to the Secretariat </w:t>
      </w:r>
      <w:r>
        <w:t xml:space="preserve">on any specific content they think should be included in the National Action Plan. </w:t>
      </w:r>
    </w:p>
    <w:p w14:paraId="0822D256" w14:textId="56D4A47A" w:rsidR="00933156" w:rsidRPr="000C12BC" w:rsidRDefault="002E7792" w:rsidP="00933156">
      <w:pPr>
        <w:widowControl w:val="0"/>
      </w:pPr>
      <w:r>
        <w:t xml:space="preserve">The </w:t>
      </w:r>
      <w:r w:rsidR="00C32701">
        <w:t xml:space="preserve">Secretariat </w:t>
      </w:r>
      <w:r>
        <w:t xml:space="preserve">will </w:t>
      </w:r>
      <w:r w:rsidR="00C32701">
        <w:t xml:space="preserve">look to </w:t>
      </w:r>
      <w:r>
        <w:t>circulate an early draft of the National Action Plan out of session.</w:t>
      </w:r>
    </w:p>
    <w:p w14:paraId="3E5680BC" w14:textId="77777777" w:rsidR="00933156" w:rsidRDefault="00933156" w:rsidP="00724FBE">
      <w:pPr>
        <w:spacing w:before="240" w:after="0"/>
        <w:rPr>
          <w:b/>
          <w:sz w:val="24"/>
          <w:szCs w:val="24"/>
        </w:rPr>
      </w:pPr>
    </w:p>
    <w:sectPr w:rsidR="00933156" w:rsidSect="00CB2FE2">
      <w:pgSz w:w="11906" w:h="16838"/>
      <w:pgMar w:top="1276"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36DF2" w14:textId="77777777" w:rsidR="0073534E" w:rsidRDefault="0073534E" w:rsidP="00811322">
      <w:pPr>
        <w:spacing w:after="0" w:line="240" w:lineRule="auto"/>
      </w:pPr>
      <w:r>
        <w:separator/>
      </w:r>
    </w:p>
  </w:endnote>
  <w:endnote w:type="continuationSeparator" w:id="0">
    <w:p w14:paraId="68D4B089" w14:textId="77777777" w:rsidR="0073534E" w:rsidRDefault="0073534E" w:rsidP="00811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9E3D9" w14:textId="77777777" w:rsidR="0073534E" w:rsidRDefault="0073534E" w:rsidP="00811322">
      <w:pPr>
        <w:spacing w:after="0" w:line="240" w:lineRule="auto"/>
      </w:pPr>
      <w:r>
        <w:separator/>
      </w:r>
    </w:p>
  </w:footnote>
  <w:footnote w:type="continuationSeparator" w:id="0">
    <w:p w14:paraId="2646C85D" w14:textId="77777777" w:rsidR="0073534E" w:rsidRDefault="0073534E" w:rsidP="008113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311B"/>
    <w:multiLevelType w:val="hybridMultilevel"/>
    <w:tmpl w:val="97C4DBF4"/>
    <w:lvl w:ilvl="0" w:tplc="0C09000F">
      <w:start w:val="1"/>
      <w:numFmt w:val="decimal"/>
      <w:lvlText w:val="%1."/>
      <w:lvlJc w:val="left"/>
      <w:pPr>
        <w:ind w:left="720" w:hanging="360"/>
      </w:pPr>
      <w:rPr>
        <w:rFonts w:hint="default"/>
      </w:rPr>
    </w:lvl>
    <w:lvl w:ilvl="1" w:tplc="9BE66002">
      <w:start w:val="1"/>
      <w:numFmt w:val="lowerLetter"/>
      <w:lvlText w:val="%2."/>
      <w:lvlJc w:val="left"/>
      <w:pPr>
        <w:ind w:left="1440" w:hanging="360"/>
      </w:pPr>
      <w:rPr>
        <w:rFonts w:asciiTheme="minorHAnsi" w:eastAsiaTheme="minorHAnsi" w:hAnsiTheme="minorHAnsi" w:cstheme="minorBidi"/>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F9D3434"/>
    <w:multiLevelType w:val="multilevel"/>
    <w:tmpl w:val="F54C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B1757"/>
    <w:multiLevelType w:val="hybridMultilevel"/>
    <w:tmpl w:val="166A4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7A440D8"/>
    <w:multiLevelType w:val="hybridMultilevel"/>
    <w:tmpl w:val="9D2E72A4"/>
    <w:lvl w:ilvl="0" w:tplc="9432C6D0">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7B970EF"/>
    <w:multiLevelType w:val="hybridMultilevel"/>
    <w:tmpl w:val="C6183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6B22ADE"/>
    <w:multiLevelType w:val="hybridMultilevel"/>
    <w:tmpl w:val="9FB459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7E04B70"/>
    <w:multiLevelType w:val="hybridMultilevel"/>
    <w:tmpl w:val="A53EAE6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6D5A5490"/>
    <w:multiLevelType w:val="hybridMultilevel"/>
    <w:tmpl w:val="A9E40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6F26231"/>
    <w:multiLevelType w:val="hybridMultilevel"/>
    <w:tmpl w:val="2884C7F8"/>
    <w:lvl w:ilvl="0" w:tplc="163670C4">
      <w:start w:val="1"/>
      <w:numFmt w:val="bullet"/>
      <w:lvlText w:val=""/>
      <w:lvlJc w:val="left"/>
      <w:pPr>
        <w:ind w:left="284" w:hanging="284"/>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7D50BD"/>
    <w:multiLevelType w:val="hybridMultilevel"/>
    <w:tmpl w:val="D4B0E5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BF114D6"/>
    <w:multiLevelType w:val="hybridMultilevel"/>
    <w:tmpl w:val="29D2A3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9"/>
  </w:num>
  <w:num w:numId="3">
    <w:abstractNumId w:val="6"/>
  </w:num>
  <w:num w:numId="4">
    <w:abstractNumId w:val="0"/>
  </w:num>
  <w:num w:numId="5">
    <w:abstractNumId w:val="8"/>
  </w:num>
  <w:num w:numId="6">
    <w:abstractNumId w:val="5"/>
  </w:num>
  <w:num w:numId="7">
    <w:abstractNumId w:val="1"/>
  </w:num>
  <w:num w:numId="8">
    <w:abstractNumId w:val="3"/>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A18"/>
    <w:rsid w:val="00063B70"/>
    <w:rsid w:val="000873F6"/>
    <w:rsid w:val="000B0A18"/>
    <w:rsid w:val="00122D2B"/>
    <w:rsid w:val="001262C8"/>
    <w:rsid w:val="001D2E70"/>
    <w:rsid w:val="00225D28"/>
    <w:rsid w:val="002A22F7"/>
    <w:rsid w:val="002E13F3"/>
    <w:rsid w:val="002E7792"/>
    <w:rsid w:val="002E7ABE"/>
    <w:rsid w:val="00310F1E"/>
    <w:rsid w:val="00315046"/>
    <w:rsid w:val="003C7C63"/>
    <w:rsid w:val="003E551B"/>
    <w:rsid w:val="004F1442"/>
    <w:rsid w:val="00567A65"/>
    <w:rsid w:val="005721AD"/>
    <w:rsid w:val="005916A1"/>
    <w:rsid w:val="005C0B57"/>
    <w:rsid w:val="005D57D7"/>
    <w:rsid w:val="006B23D6"/>
    <w:rsid w:val="006B47A3"/>
    <w:rsid w:val="00714A4F"/>
    <w:rsid w:val="00716E43"/>
    <w:rsid w:val="00724FBE"/>
    <w:rsid w:val="0073534E"/>
    <w:rsid w:val="007511D4"/>
    <w:rsid w:val="00811322"/>
    <w:rsid w:val="00825512"/>
    <w:rsid w:val="00863D5C"/>
    <w:rsid w:val="00915DE9"/>
    <w:rsid w:val="00933156"/>
    <w:rsid w:val="009703EA"/>
    <w:rsid w:val="009C793A"/>
    <w:rsid w:val="00A355B9"/>
    <w:rsid w:val="00A43C32"/>
    <w:rsid w:val="00A45FDF"/>
    <w:rsid w:val="00AA0D54"/>
    <w:rsid w:val="00C2218C"/>
    <w:rsid w:val="00C32701"/>
    <w:rsid w:val="00CB2FE2"/>
    <w:rsid w:val="00D2227E"/>
    <w:rsid w:val="00D35EF8"/>
    <w:rsid w:val="00DA3832"/>
    <w:rsid w:val="00DB1EF1"/>
    <w:rsid w:val="00DF004E"/>
    <w:rsid w:val="00E30F05"/>
    <w:rsid w:val="00E75EEB"/>
    <w:rsid w:val="00E93F6A"/>
    <w:rsid w:val="00EA0BB8"/>
    <w:rsid w:val="00EB14FC"/>
    <w:rsid w:val="00EE241F"/>
    <w:rsid w:val="00F64115"/>
    <w:rsid w:val="00F945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Bullet Cab,Recommendation,List Paragraph1,List Paragraph11,FooterText,numbered,Paragraphe de liste1,Bulletr List Paragraph,列出段落,列出段落1,List Paragraph2,List Paragraph21,Listeafsnit1,Parágrafo da Lista1,Párrafo de lista1,リスト段落1,L"/>
    <w:basedOn w:val="Normal"/>
    <w:link w:val="ListParagraphChar"/>
    <w:uiPriority w:val="34"/>
    <w:qFormat/>
    <w:rsid w:val="00E75EEB"/>
    <w:pPr>
      <w:ind w:left="720"/>
      <w:contextualSpacing/>
    </w:pPr>
  </w:style>
  <w:style w:type="character" w:styleId="Hyperlink">
    <w:name w:val="Hyperlink"/>
    <w:basedOn w:val="DefaultParagraphFont"/>
    <w:uiPriority w:val="99"/>
    <w:unhideWhenUsed/>
    <w:rsid w:val="00811322"/>
    <w:rPr>
      <w:color w:val="0000FF" w:themeColor="hyperlink"/>
      <w:u w:val="single"/>
    </w:rPr>
  </w:style>
  <w:style w:type="paragraph" w:styleId="Header">
    <w:name w:val="header"/>
    <w:basedOn w:val="Normal"/>
    <w:link w:val="HeaderChar"/>
    <w:uiPriority w:val="99"/>
    <w:unhideWhenUsed/>
    <w:rsid w:val="008113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322"/>
  </w:style>
  <w:style w:type="paragraph" w:styleId="Footer">
    <w:name w:val="footer"/>
    <w:basedOn w:val="Normal"/>
    <w:link w:val="FooterChar"/>
    <w:uiPriority w:val="99"/>
    <w:unhideWhenUsed/>
    <w:rsid w:val="008113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322"/>
  </w:style>
  <w:style w:type="paragraph" w:styleId="BalloonText">
    <w:name w:val="Balloon Text"/>
    <w:basedOn w:val="Normal"/>
    <w:link w:val="BalloonTextChar"/>
    <w:uiPriority w:val="99"/>
    <w:semiHidden/>
    <w:unhideWhenUsed/>
    <w:rsid w:val="00811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322"/>
    <w:rPr>
      <w:rFonts w:ascii="Tahoma" w:hAnsi="Tahoma" w:cs="Tahoma"/>
      <w:sz w:val="16"/>
      <w:szCs w:val="16"/>
    </w:rPr>
  </w:style>
  <w:style w:type="table" w:styleId="TableGrid">
    <w:name w:val="Table Grid"/>
    <w:basedOn w:val="TableNormal"/>
    <w:uiPriority w:val="59"/>
    <w:rsid w:val="002E1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ody Text Cab"/>
    <w:link w:val="BodyTextChar"/>
    <w:qFormat/>
    <w:rsid w:val="005C0B57"/>
    <w:pPr>
      <w:spacing w:before="120" w:after="120" w:line="240" w:lineRule="auto"/>
    </w:pPr>
    <w:rPr>
      <w:rFonts w:ascii="Arial" w:hAnsi="Arial"/>
    </w:rPr>
  </w:style>
  <w:style w:type="character" w:customStyle="1" w:styleId="BodyTextChar">
    <w:name w:val="Body Text Char"/>
    <w:aliases w:val="Body Text Cab Char"/>
    <w:basedOn w:val="DefaultParagraphFont"/>
    <w:link w:val="BodyText"/>
    <w:rsid w:val="005C0B57"/>
    <w:rPr>
      <w:rFonts w:ascii="Arial" w:hAnsi="Arial"/>
    </w:rPr>
  </w:style>
  <w:style w:type="character" w:customStyle="1" w:styleId="ListParagraphChar">
    <w:name w:val="List Paragraph Char"/>
    <w:aliases w:val="List Bullet Cab Char,Recommendation Char,List Paragraph1 Char,List Paragraph11 Char,FooterText Char,numbered Char,Paragraphe de liste1 Char,Bulletr List Paragraph Char,列出段落 Char,列出段落1 Char,List Paragraph2 Char,List Paragraph21 Char"/>
    <w:basedOn w:val="DefaultParagraphFont"/>
    <w:link w:val="ListParagraph"/>
    <w:uiPriority w:val="2"/>
    <w:locked/>
    <w:rsid w:val="005C0B57"/>
  </w:style>
  <w:style w:type="character" w:styleId="FollowedHyperlink">
    <w:name w:val="FollowedHyperlink"/>
    <w:basedOn w:val="DefaultParagraphFont"/>
    <w:uiPriority w:val="99"/>
    <w:semiHidden/>
    <w:unhideWhenUsed/>
    <w:rsid w:val="0093315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Bullet Cab,Recommendation,List Paragraph1,List Paragraph11,FooterText,numbered,Paragraphe de liste1,Bulletr List Paragraph,列出段落,列出段落1,List Paragraph2,List Paragraph21,Listeafsnit1,Parágrafo da Lista1,Párrafo de lista1,リスト段落1,L"/>
    <w:basedOn w:val="Normal"/>
    <w:link w:val="ListParagraphChar"/>
    <w:uiPriority w:val="34"/>
    <w:qFormat/>
    <w:rsid w:val="00E75EEB"/>
    <w:pPr>
      <w:ind w:left="720"/>
      <w:contextualSpacing/>
    </w:pPr>
  </w:style>
  <w:style w:type="character" w:styleId="Hyperlink">
    <w:name w:val="Hyperlink"/>
    <w:basedOn w:val="DefaultParagraphFont"/>
    <w:uiPriority w:val="99"/>
    <w:unhideWhenUsed/>
    <w:rsid w:val="00811322"/>
    <w:rPr>
      <w:color w:val="0000FF" w:themeColor="hyperlink"/>
      <w:u w:val="single"/>
    </w:rPr>
  </w:style>
  <w:style w:type="paragraph" w:styleId="Header">
    <w:name w:val="header"/>
    <w:basedOn w:val="Normal"/>
    <w:link w:val="HeaderChar"/>
    <w:uiPriority w:val="99"/>
    <w:unhideWhenUsed/>
    <w:rsid w:val="008113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322"/>
  </w:style>
  <w:style w:type="paragraph" w:styleId="Footer">
    <w:name w:val="footer"/>
    <w:basedOn w:val="Normal"/>
    <w:link w:val="FooterChar"/>
    <w:uiPriority w:val="99"/>
    <w:unhideWhenUsed/>
    <w:rsid w:val="008113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322"/>
  </w:style>
  <w:style w:type="paragraph" w:styleId="BalloonText">
    <w:name w:val="Balloon Text"/>
    <w:basedOn w:val="Normal"/>
    <w:link w:val="BalloonTextChar"/>
    <w:uiPriority w:val="99"/>
    <w:semiHidden/>
    <w:unhideWhenUsed/>
    <w:rsid w:val="00811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322"/>
    <w:rPr>
      <w:rFonts w:ascii="Tahoma" w:hAnsi="Tahoma" w:cs="Tahoma"/>
      <w:sz w:val="16"/>
      <w:szCs w:val="16"/>
    </w:rPr>
  </w:style>
  <w:style w:type="table" w:styleId="TableGrid">
    <w:name w:val="Table Grid"/>
    <w:basedOn w:val="TableNormal"/>
    <w:uiPriority w:val="59"/>
    <w:rsid w:val="002E1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ody Text Cab"/>
    <w:link w:val="BodyTextChar"/>
    <w:qFormat/>
    <w:rsid w:val="005C0B57"/>
    <w:pPr>
      <w:spacing w:before="120" w:after="120" w:line="240" w:lineRule="auto"/>
    </w:pPr>
    <w:rPr>
      <w:rFonts w:ascii="Arial" w:hAnsi="Arial"/>
    </w:rPr>
  </w:style>
  <w:style w:type="character" w:customStyle="1" w:styleId="BodyTextChar">
    <w:name w:val="Body Text Char"/>
    <w:aliases w:val="Body Text Cab Char"/>
    <w:basedOn w:val="DefaultParagraphFont"/>
    <w:link w:val="BodyText"/>
    <w:rsid w:val="005C0B57"/>
    <w:rPr>
      <w:rFonts w:ascii="Arial" w:hAnsi="Arial"/>
    </w:rPr>
  </w:style>
  <w:style w:type="character" w:customStyle="1" w:styleId="ListParagraphChar">
    <w:name w:val="List Paragraph Char"/>
    <w:aliases w:val="List Bullet Cab Char,Recommendation Char,List Paragraph1 Char,List Paragraph11 Char,FooterText Char,numbered Char,Paragraphe de liste1 Char,Bulletr List Paragraph Char,列出段落 Char,列出段落1 Char,List Paragraph2 Char,List Paragraph21 Char"/>
    <w:basedOn w:val="DefaultParagraphFont"/>
    <w:link w:val="ListParagraph"/>
    <w:uiPriority w:val="2"/>
    <w:locked/>
    <w:rsid w:val="005C0B57"/>
  </w:style>
  <w:style w:type="character" w:styleId="FollowedHyperlink">
    <w:name w:val="FollowedHyperlink"/>
    <w:basedOn w:val="DefaultParagraphFont"/>
    <w:uiPriority w:val="99"/>
    <w:semiHidden/>
    <w:unhideWhenUsed/>
    <w:rsid w:val="009331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government.org.au/2016/06/09/towards-an-open-government-manifest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gpau.govspace.gov.au/category/submission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opengovpartnership.org/sites/default/files/ogp_2016_poc_manual.pdf" TargetMode="External"/><Relationship Id="rId5" Type="http://schemas.openxmlformats.org/officeDocument/2006/relationships/styles" Target="styles.xml"/><Relationship Id="rId15" Type="http://schemas.openxmlformats.org/officeDocument/2006/relationships/hyperlink" Target="http://www.opengovpartnership.org/sites/default/files/attachments/OGP_actionplan_guide%20FINAL_0.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gov.uk/government/uploads/system/uploads/attachment_data/file/522699/Australia.pdfhttps:/www.gov.uk/government/uploads/system/uploads/attachment_data/file/522699/Austral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MC Document" ma:contentTypeID="0x0101002825A64A6E1845A99A9D8EE8A5686ECB0095018B9A03CD5745B16B268BA709DBD0" ma:contentTypeVersion="7" ma:contentTypeDescription="PMC Document" ma:contentTypeScope="" ma:versionID="1d603e43ef13d68e48ffea329704e62a">
  <xsd:schema xmlns:xsd="http://www.w3.org/2001/XMLSchema" xmlns:xs="http://www.w3.org/2001/XMLSchema" xmlns:p="http://schemas.microsoft.com/office/2006/metadata/properties" xmlns:ns2="4013f9c9-5472-4114-9aa5-6d4577f67040" xmlns:ns3="685f9fda-bd71-4433-b331-92feb9553089" targetNamespace="http://schemas.microsoft.com/office/2006/metadata/properties" ma:root="true" ma:fieldsID="c334bd6e073e34d8c35a58942c79c805" ns2:_="" ns3:_="">
    <xsd:import namespace="4013f9c9-5472-4114-9aa5-6d4577f67040"/>
    <xsd:import namespace="685f9fda-bd71-4433-b331-92feb9553089"/>
    <xsd:element name="properties">
      <xsd:complexType>
        <xsd:sequence>
          <xsd:element name="documentManagement">
            <xsd:complexType>
              <xsd:all>
                <xsd:element ref="ns2:mc5611b894cf49d8aeeb8ebf39dc09bc" minOccurs="0"/>
                <xsd:element ref="ns2:TaxCatchAll" minOccurs="0"/>
                <xsd:element ref="ns2:TaxCatchAllLabel" minOccurs="0"/>
                <xsd:element ref="ns2:jd1c641577414dfdab1686c9d5d0dbd0" minOccurs="0"/>
                <xsd:element ref="ns3:NonRecordJustification"/>
                <xsd:element ref="ns2:PMC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3f9c9-5472-4114-9aa5-6d4577f67040" elementFormDefault="qualified">
    <xsd:import namespace="http://schemas.microsoft.com/office/2006/documentManagement/types"/>
    <xsd:import namespace="http://schemas.microsoft.com/office/infopath/2007/PartnerControls"/>
    <xsd:element name="mc5611b894cf49d8aeeb8ebf39dc09bc" ma:index="8" ma:taxonomy="true" ma:internalName="mc5611b894cf49d8aeeb8ebf39dc09bc" ma:taxonomyFieldName="HPRMSecurityLevel" ma:displayName="Security Level" ma:default="1;#UNCLASSIFIED|9c49a7c7-17c7-412f-8077-62dec89b9196" ma:fieldId="{6c5611b8-94cf-49d8-aeeb-8ebf39dc09bc}" ma:sspId="fdd71c70-8dda-4116-8995-314ca52d638a" ma:termSetId="ad616a2a-2f34-42df-868f-846f11d5d89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8dce70c5-6e7d-4bcc-93bb-5d29f3ffd152}" ma:internalName="TaxCatchAll" ma:showField="CatchAllData" ma:web="4013f9c9-5472-4114-9aa5-6d4577f6704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8dce70c5-6e7d-4bcc-93bb-5d29f3ffd152}" ma:internalName="TaxCatchAllLabel" ma:readOnly="true" ma:showField="CatchAllDataLabel" ma:web="4013f9c9-5472-4114-9aa5-6d4577f67040">
      <xsd:complexType>
        <xsd:complexContent>
          <xsd:extension base="dms:MultiChoiceLookup">
            <xsd:sequence>
              <xsd:element name="Value" type="dms:Lookup" maxOccurs="unbounded" minOccurs="0" nillable="true"/>
            </xsd:sequence>
          </xsd:extension>
        </xsd:complexContent>
      </xsd:complexType>
    </xsd:element>
    <xsd:element name="jd1c641577414dfdab1686c9d5d0dbd0" ma:index="12" nillable="true" ma:taxonomy="true" ma:internalName="jd1c641577414dfdab1686c9d5d0dbd0" ma:taxonomyFieldName="HPRMSecurityCaveat" ma:displayName="DLM" ma:fieldId="{3d1c6415-7741-4dfd-ab16-86c9d5d0dbd0}" ma:taxonomyMulti="true" ma:sspId="fdd71c70-8dda-4116-8995-314ca52d638a" ma:termSetId="4779c3b8-a320-4a06-b8c8-666ff4292a5a" ma:anchorId="00000000-0000-0000-0000-000000000000" ma:open="false" ma:isKeyword="false">
      <xsd:complexType>
        <xsd:sequence>
          <xsd:element ref="pc:Terms" minOccurs="0" maxOccurs="1"/>
        </xsd:sequence>
      </xsd:complexType>
    </xsd:element>
    <xsd:element name="PMCNotes" ma:index="15" nillable="true" ma:displayName="Notes" ma:internalName="PMC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5f9fda-bd71-4433-b331-92feb9553089" elementFormDefault="qualified">
    <xsd:import namespace="http://schemas.microsoft.com/office/2006/documentManagement/types"/>
    <xsd:import namespace="http://schemas.microsoft.com/office/infopath/2007/PartnerControls"/>
    <xsd:element name="NonRecordJustification" ma:index="14" ma:displayName="Non-record justification" ma:default="None" ma:format="Dropdown" ma:internalName="NonRecordJustification">
      <xsd:simpleType>
        <xsd:restriction base="dms:Choice">
          <xsd:enumeration value="None"/>
          <xsd:enumeration value="Not defined as a record under the Archives Act of 1983"/>
          <xsd:enumeration value="Duplicate or low value item"/>
          <xsd:enumeration value="Superced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c5611b894cf49d8aeeb8ebf39dc09bc xmlns="4013f9c9-5472-4114-9aa5-6d4577f67040">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9c49a7c7-17c7-412f-8077-62dec89b9196</TermId>
        </TermInfo>
      </Terms>
    </mc5611b894cf49d8aeeb8ebf39dc09bc>
    <TaxCatchAll xmlns="4013f9c9-5472-4114-9aa5-6d4577f67040">
      <Value>1</Value>
    </TaxCatchAll>
    <PMCNotes xmlns="4013f9c9-5472-4114-9aa5-6d4577f67040" xsi:nil="true"/>
    <jd1c641577414dfdab1686c9d5d0dbd0 xmlns="4013f9c9-5472-4114-9aa5-6d4577f67040">
      <Terms xmlns="http://schemas.microsoft.com/office/infopath/2007/PartnerControls"/>
    </jd1c641577414dfdab1686c9d5d0dbd0>
    <NonRecordJustification xmlns="685f9fda-bd71-4433-b331-92feb9553089">None</NonRecordJustification>
  </documentManagement>
</p:properties>
</file>

<file path=customXml/itemProps1.xml><?xml version="1.0" encoding="utf-8"?>
<ds:datastoreItem xmlns:ds="http://schemas.openxmlformats.org/officeDocument/2006/customXml" ds:itemID="{06154A20-C970-4564-AE07-11EA35F8944A}"/>
</file>

<file path=customXml/itemProps2.xml><?xml version="1.0" encoding="utf-8"?>
<ds:datastoreItem xmlns:ds="http://schemas.openxmlformats.org/officeDocument/2006/customXml" ds:itemID="{9203E2E1-86A6-496B-88A8-B0E46A82C49E}"/>
</file>

<file path=customXml/itemProps3.xml><?xml version="1.0" encoding="utf-8"?>
<ds:datastoreItem xmlns:ds="http://schemas.openxmlformats.org/officeDocument/2006/customXml" ds:itemID="{D33AE397-AF38-4E34-8FAA-D813B2318FB6}"/>
</file>

<file path=docProps/app.xml><?xml version="1.0" encoding="utf-8"?>
<Properties xmlns="http://schemas.openxmlformats.org/officeDocument/2006/extended-properties" xmlns:vt="http://schemas.openxmlformats.org/officeDocument/2006/docPropsVTypes">
  <Template>Normal</Template>
  <TotalTime>6</TotalTime>
  <Pages>3</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the Prime Minister and Cabinet</Company>
  <LinksUpToDate>false</LinksUpToDate>
  <CharactersWithSpaces>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Caroline</dc:creator>
  <cp:lastModifiedBy>Black, Ryan</cp:lastModifiedBy>
  <cp:revision>3</cp:revision>
  <cp:lastPrinted>2016-08-29T06:36:00Z</cp:lastPrinted>
  <dcterms:created xsi:type="dcterms:W3CDTF">2016-08-31T05:22:00Z</dcterms:created>
  <dcterms:modified xsi:type="dcterms:W3CDTF">2016-09-01T05:06:00Z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0x0101002825A64A6E1845A99A9D8EE8A5686ECB0095018B9A03CD5745B16B268BA709DBD0</vt:lpwstr>
  </property>
  <property fmtid="{D5CDD505-2E9C-101B-9397-08002B2CF9AE}" pid="3" name="HPRMSecurityLevel">
    <vt:lpwstr>1;#UNCLASSIFIED|9c49a7c7-17c7-412f-8077-62dec89b9196</vt:lpwstr>
  </property>
  <property fmtid="{D5CDD505-2E9C-101B-9397-08002B2CF9AE}" pid="4" name="HPRMSecurityCaveat">
    <vt:lpwstr/>
  </property>
</Properties>
</file>