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828B6" w14:textId="386A4D13" w:rsidR="00EE241F" w:rsidRPr="00AA0D54" w:rsidRDefault="002D5716" w:rsidP="005916A1">
      <w:pPr>
        <w:spacing w:after="0"/>
        <w:jc w:val="center"/>
        <w:rPr>
          <w:b/>
          <w:sz w:val="32"/>
        </w:rPr>
      </w:pPr>
      <w:r>
        <w:rPr>
          <w:b/>
          <w:sz w:val="32"/>
        </w:rPr>
        <w:t>Potential commitments for the</w:t>
      </w:r>
      <w:r w:rsidR="00811322" w:rsidRPr="00AA0D54">
        <w:rPr>
          <w:b/>
          <w:sz w:val="32"/>
        </w:rPr>
        <w:t xml:space="preserve"> National Action Plan</w:t>
      </w:r>
    </w:p>
    <w:p w14:paraId="5C5DAFD9" w14:textId="77777777" w:rsidR="002E7792" w:rsidRDefault="002E7792" w:rsidP="002E7792">
      <w:pPr>
        <w:widowControl w:val="0"/>
        <w:spacing w:after="0"/>
        <w:rPr>
          <w:rFonts w:cs="Arial"/>
        </w:rPr>
      </w:pPr>
    </w:p>
    <w:p w14:paraId="56D3B551" w14:textId="1377AD11" w:rsidR="00014F10" w:rsidRDefault="002D5716" w:rsidP="00014F10">
      <w:pPr>
        <w:pStyle w:val="ListParagraph"/>
        <w:ind w:left="0"/>
        <w:contextualSpacing w:val="0"/>
      </w:pPr>
      <w:r>
        <w:t xml:space="preserve">At its last meeting, the </w:t>
      </w:r>
      <w:r w:rsidR="001E7D23">
        <w:t>IWG</w:t>
      </w:r>
      <w:r>
        <w:t xml:space="preserve"> agreed </w:t>
      </w:r>
      <w:r w:rsidR="002E6F18">
        <w:t xml:space="preserve">to </w:t>
      </w:r>
      <w:r w:rsidR="00014F10">
        <w:t>further</w:t>
      </w:r>
      <w:r w:rsidR="002E6F18">
        <w:t xml:space="preserve"> </w:t>
      </w:r>
      <w:r w:rsidR="003B10AE">
        <w:t>develop and refine</w:t>
      </w:r>
      <w:r w:rsidR="00014F10">
        <w:t xml:space="preserve"> of a number of potential commitments. Updated draft text</w:t>
      </w:r>
      <w:r w:rsidR="003B10AE">
        <w:t xml:space="preserve"> on the following potential commitments</w:t>
      </w:r>
      <w:r w:rsidR="00014F10">
        <w:t xml:space="preserve"> will be provided to members, and subject to agreeme</w:t>
      </w:r>
      <w:bookmarkStart w:id="0" w:name="_GoBack"/>
      <w:bookmarkEnd w:id="0"/>
      <w:r w:rsidR="00014F10">
        <w:t>nt of the IWG, released for public comment</w:t>
      </w:r>
      <w:r w:rsidR="0056680B">
        <w:t>:</w:t>
      </w:r>
    </w:p>
    <w:p w14:paraId="04C27FF8" w14:textId="12DFCB3B" w:rsidR="0056680B" w:rsidRPr="003B10AE" w:rsidRDefault="0056680B" w:rsidP="00014F10">
      <w:pPr>
        <w:pStyle w:val="ListParagraph"/>
        <w:numPr>
          <w:ilvl w:val="0"/>
          <w:numId w:val="12"/>
        </w:numPr>
        <w:spacing w:after="0"/>
      </w:pPr>
      <w:r w:rsidRPr="003B10AE">
        <w:t xml:space="preserve">Work towards compliance with the </w:t>
      </w:r>
      <w:r w:rsidRPr="003B10AE">
        <w:rPr>
          <w:b/>
        </w:rPr>
        <w:t>Extractive Industries Transparency Initiative</w:t>
      </w:r>
      <w:r w:rsidRPr="003B10AE">
        <w:t xml:space="preserve">. </w:t>
      </w:r>
    </w:p>
    <w:p w14:paraId="34B40777" w14:textId="77777777" w:rsidR="0056680B" w:rsidRPr="003B10AE" w:rsidRDefault="0056680B" w:rsidP="0056680B">
      <w:pPr>
        <w:pStyle w:val="ListParagraph"/>
        <w:widowControl w:val="0"/>
        <w:numPr>
          <w:ilvl w:val="0"/>
          <w:numId w:val="12"/>
        </w:numPr>
        <w:spacing w:after="0"/>
      </w:pPr>
      <w:r w:rsidRPr="003B10AE">
        <w:t xml:space="preserve">Assess Australia’s compliance with the </w:t>
      </w:r>
      <w:r w:rsidRPr="003B10AE">
        <w:rPr>
          <w:b/>
        </w:rPr>
        <w:t>Open Contracting Data Standard</w:t>
      </w:r>
      <w:r w:rsidRPr="003B10AE">
        <w:t>.</w:t>
      </w:r>
    </w:p>
    <w:p w14:paraId="5FFCF4C3" w14:textId="22957F58" w:rsidR="0056680B" w:rsidRPr="003B10AE" w:rsidRDefault="002E6F18" w:rsidP="0056680B">
      <w:pPr>
        <w:pStyle w:val="ListParagraph"/>
        <w:widowControl w:val="0"/>
        <w:numPr>
          <w:ilvl w:val="0"/>
          <w:numId w:val="12"/>
        </w:numPr>
        <w:spacing w:after="0"/>
      </w:pPr>
      <w:r w:rsidRPr="003B10AE">
        <w:t xml:space="preserve">Explore options for </w:t>
      </w:r>
      <w:r w:rsidR="0056680B" w:rsidRPr="003B10AE">
        <w:t xml:space="preserve">a </w:t>
      </w:r>
      <w:r w:rsidR="0056680B" w:rsidRPr="003B10AE">
        <w:rPr>
          <w:b/>
        </w:rPr>
        <w:t>beneficial ownership register</w:t>
      </w:r>
      <w:r w:rsidR="0056680B" w:rsidRPr="003B10AE">
        <w:t xml:space="preserve"> for companies.</w:t>
      </w:r>
    </w:p>
    <w:p w14:paraId="7FE21DF7" w14:textId="77777777" w:rsidR="003B10AE" w:rsidRPr="003B10AE" w:rsidRDefault="003B10AE" w:rsidP="0056680B">
      <w:pPr>
        <w:pStyle w:val="ListParagraph"/>
        <w:widowControl w:val="0"/>
        <w:numPr>
          <w:ilvl w:val="0"/>
          <w:numId w:val="12"/>
        </w:numPr>
        <w:spacing w:after="0"/>
      </w:pPr>
      <w:r w:rsidRPr="003B10AE">
        <w:rPr>
          <w:rStyle w:val="Strong"/>
        </w:rPr>
        <w:t>Improve whistle-blowers</w:t>
      </w:r>
      <w:r w:rsidRPr="003B10AE">
        <w:t xml:space="preserve"> </w:t>
      </w:r>
      <w:r w:rsidRPr="003B10AE">
        <w:rPr>
          <w:rStyle w:val="Strong"/>
        </w:rPr>
        <w:t xml:space="preserve">protections </w:t>
      </w:r>
      <w:r w:rsidRPr="003B10AE">
        <w:t>in the corporate sector, noting the Government’s commitment to improve protections for whistle-blowers who report tax misconduct to the Australian Taxation Office.</w:t>
      </w:r>
    </w:p>
    <w:p w14:paraId="798F26CF" w14:textId="20A477CE" w:rsidR="0056680B" w:rsidRPr="003B10AE" w:rsidRDefault="0056680B" w:rsidP="0056680B">
      <w:pPr>
        <w:pStyle w:val="ListParagraph"/>
        <w:widowControl w:val="0"/>
        <w:numPr>
          <w:ilvl w:val="0"/>
          <w:numId w:val="12"/>
        </w:numPr>
        <w:spacing w:after="0"/>
      </w:pPr>
      <w:r w:rsidRPr="003B10AE">
        <w:t xml:space="preserve">Establish metrics to </w:t>
      </w:r>
      <w:r w:rsidRPr="003B10AE">
        <w:rPr>
          <w:b/>
        </w:rPr>
        <w:t>assess public utilisation of information access rights</w:t>
      </w:r>
      <w:r w:rsidRPr="003B10AE">
        <w:t>.</w:t>
      </w:r>
    </w:p>
    <w:p w14:paraId="03D0D774" w14:textId="472BCB75" w:rsidR="0056680B" w:rsidRDefault="0056680B" w:rsidP="0056680B">
      <w:pPr>
        <w:pStyle w:val="ListParagraph"/>
        <w:widowControl w:val="0"/>
        <w:numPr>
          <w:ilvl w:val="0"/>
          <w:numId w:val="12"/>
        </w:numPr>
        <w:spacing w:after="0"/>
      </w:pPr>
      <w:r w:rsidRPr="003B10AE">
        <w:t xml:space="preserve">Improve </w:t>
      </w:r>
      <w:r w:rsidRPr="003B10AE">
        <w:rPr>
          <w:b/>
        </w:rPr>
        <w:t>availability and use of public data</w:t>
      </w:r>
      <w:r w:rsidRPr="003B10AE">
        <w:t>, including identifying and releasing high</w:t>
      </w:r>
      <w:r w:rsidRPr="003B10AE">
        <w:noBreakHyphen/>
        <w:t xml:space="preserve">value datasets to enable data-driven innovation, building </w:t>
      </w:r>
      <w:r>
        <w:t>public data infrastructure, and building and maintaining public trust on data sharing.</w:t>
      </w:r>
    </w:p>
    <w:p w14:paraId="45909246" w14:textId="77777777" w:rsidR="00097F07" w:rsidRDefault="00097F07" w:rsidP="00097F07">
      <w:pPr>
        <w:widowControl w:val="0"/>
        <w:spacing w:after="0"/>
      </w:pPr>
    </w:p>
    <w:p w14:paraId="228D024B" w14:textId="77777777" w:rsidR="00014F10" w:rsidRDefault="00197744" w:rsidP="00014F10">
      <w:pPr>
        <w:pStyle w:val="ListParagraph"/>
        <w:ind w:left="0"/>
        <w:contextualSpacing w:val="0"/>
      </w:pPr>
      <w:r>
        <w:t>Draft text will also be provided to IWG members to facilitate discussion around the following:</w:t>
      </w:r>
    </w:p>
    <w:p w14:paraId="2258A57F" w14:textId="4FC5F8A7" w:rsidR="0056680B" w:rsidRDefault="0056680B" w:rsidP="00197744">
      <w:pPr>
        <w:pStyle w:val="ListParagraph"/>
        <w:widowControl w:val="0"/>
        <w:numPr>
          <w:ilvl w:val="0"/>
          <w:numId w:val="12"/>
        </w:numPr>
        <w:spacing w:after="0"/>
        <w:rPr>
          <w:b/>
        </w:rPr>
      </w:pPr>
      <w:r w:rsidRPr="002E6F18">
        <w:t>Improve the</w:t>
      </w:r>
      <w:r>
        <w:rPr>
          <w:b/>
        </w:rPr>
        <w:t xml:space="preserve"> discoverability and accessibility of government information</w:t>
      </w:r>
      <w:r w:rsidR="00AB39A9">
        <w:rPr>
          <w:b/>
        </w:rPr>
        <w:t>.</w:t>
      </w:r>
    </w:p>
    <w:p w14:paraId="1EFBD906" w14:textId="3EDC9C68" w:rsidR="0056680B" w:rsidRDefault="00FD6158" w:rsidP="00197744">
      <w:pPr>
        <w:pStyle w:val="ListParagraph"/>
        <w:widowControl w:val="0"/>
        <w:numPr>
          <w:ilvl w:val="0"/>
          <w:numId w:val="12"/>
        </w:numPr>
        <w:spacing w:after="0"/>
        <w:rPr>
          <w:b/>
        </w:rPr>
      </w:pPr>
      <w:r>
        <w:t>Review and m</w:t>
      </w:r>
      <w:r w:rsidR="002E6F18" w:rsidRPr="002E6F18">
        <w:t xml:space="preserve">odernise </w:t>
      </w:r>
      <w:r w:rsidR="002E6F18">
        <w:rPr>
          <w:b/>
        </w:rPr>
        <w:t>i</w:t>
      </w:r>
      <w:r w:rsidR="0056680B">
        <w:rPr>
          <w:b/>
        </w:rPr>
        <w:t>nformation management and access laws.</w:t>
      </w:r>
    </w:p>
    <w:p w14:paraId="68FA0A3D" w14:textId="74A9D0BE" w:rsidR="0056680B" w:rsidRPr="009208BA" w:rsidRDefault="009208BA" w:rsidP="0056680B">
      <w:pPr>
        <w:pStyle w:val="ListParagraph"/>
        <w:widowControl w:val="0"/>
        <w:numPr>
          <w:ilvl w:val="0"/>
          <w:numId w:val="12"/>
        </w:numPr>
        <w:spacing w:after="0"/>
        <w:rPr>
          <w:b/>
        </w:rPr>
      </w:pPr>
      <w:r w:rsidRPr="009208BA">
        <w:t>Support government agencies to</w:t>
      </w:r>
      <w:r w:rsidRPr="009208BA">
        <w:rPr>
          <w:b/>
        </w:rPr>
        <w:t xml:space="preserve"> digitally transform high volume services.</w:t>
      </w:r>
    </w:p>
    <w:p w14:paraId="4AA1B0EF" w14:textId="77777777" w:rsidR="002E6F18" w:rsidRPr="00011C8B" w:rsidRDefault="002E6F18" w:rsidP="002E6F18">
      <w:pPr>
        <w:pStyle w:val="ListParagraph"/>
        <w:widowControl w:val="0"/>
        <w:numPr>
          <w:ilvl w:val="0"/>
          <w:numId w:val="12"/>
        </w:numPr>
        <w:spacing w:after="0"/>
      </w:pPr>
      <w:r w:rsidRPr="00011C8B">
        <w:t xml:space="preserve">Establish a </w:t>
      </w:r>
      <w:r w:rsidRPr="00011C8B">
        <w:rPr>
          <w:b/>
        </w:rPr>
        <w:t>permanent mechanism for OGP consultation</w:t>
      </w:r>
      <w:r w:rsidRPr="00011C8B">
        <w:t xml:space="preserve"> during implementation of the National Action Plan.</w:t>
      </w:r>
    </w:p>
    <w:p w14:paraId="3B8594A2" w14:textId="77777777" w:rsidR="003B10AE" w:rsidRPr="00014F10" w:rsidRDefault="003B10AE" w:rsidP="003B10AE">
      <w:pPr>
        <w:pStyle w:val="ListParagraph"/>
        <w:widowControl w:val="0"/>
        <w:numPr>
          <w:ilvl w:val="0"/>
          <w:numId w:val="12"/>
        </w:numPr>
        <w:spacing w:after="0"/>
        <w:rPr>
          <w:b/>
        </w:rPr>
      </w:pPr>
      <w:r w:rsidRPr="002E6F18">
        <w:t>Explore options to</w:t>
      </w:r>
      <w:r w:rsidRPr="00014F10">
        <w:rPr>
          <w:b/>
        </w:rPr>
        <w:t xml:space="preserve"> improve public participation and engagement </w:t>
      </w:r>
      <w:r w:rsidRPr="002E6F18">
        <w:t>in Commonwealth policy development and decision making</w:t>
      </w:r>
      <w:r w:rsidRPr="00014F10">
        <w:rPr>
          <w:b/>
        </w:rPr>
        <w:t>.</w:t>
      </w:r>
    </w:p>
    <w:p w14:paraId="486F2769" w14:textId="77777777" w:rsidR="0056680B" w:rsidRDefault="0056680B" w:rsidP="00097F07">
      <w:pPr>
        <w:widowControl w:val="0"/>
        <w:spacing w:after="0"/>
      </w:pPr>
    </w:p>
    <w:p w14:paraId="33EE71BD" w14:textId="123548DE" w:rsidR="00014F10" w:rsidRDefault="003B10AE" w:rsidP="00014F10">
      <w:pPr>
        <w:pStyle w:val="ListParagraph"/>
        <w:ind w:left="0"/>
        <w:contextualSpacing w:val="0"/>
      </w:pPr>
      <w:r>
        <w:t>Dr Coghill will provide paper</w:t>
      </w:r>
      <w:r w:rsidR="0099175E">
        <w:t>s</w:t>
      </w:r>
      <w:r>
        <w:t xml:space="preserve"> to IWG members to facilitate deeper discussion on the proposal</w:t>
      </w:r>
      <w:r w:rsidR="006F7332">
        <w:t>s</w:t>
      </w:r>
      <w:r>
        <w:t xml:space="preserve"> to enhance the </w:t>
      </w:r>
      <w:r w:rsidRPr="003B10AE">
        <w:rPr>
          <w:b/>
        </w:rPr>
        <w:t>national integrity system</w:t>
      </w:r>
      <w:r w:rsidR="0099175E">
        <w:rPr>
          <w:b/>
        </w:rPr>
        <w:t xml:space="preserve">, </w:t>
      </w:r>
      <w:r w:rsidR="00924D0A">
        <w:t xml:space="preserve">including </w:t>
      </w:r>
      <w:r w:rsidR="0099175E" w:rsidRPr="0099175E">
        <w:t>political party integrity and political campaign financing reform</w:t>
      </w:r>
      <w:r w:rsidRPr="0099175E">
        <w:t>.</w:t>
      </w:r>
      <w:r>
        <w:t xml:space="preserve"> </w:t>
      </w:r>
    </w:p>
    <w:p w14:paraId="517C40FE" w14:textId="64E7EE44" w:rsidR="009208BA" w:rsidRPr="00924D0A" w:rsidRDefault="009208BA" w:rsidP="00924D0A">
      <w:pPr>
        <w:rPr>
          <w:rFonts w:eastAsia="Times New Roman"/>
        </w:rPr>
      </w:pPr>
      <w:r>
        <w:t xml:space="preserve">Information will be provided to IWG members to facilitate discussion on Mr Timmins’ proposal </w:t>
      </w:r>
      <w:r w:rsidR="00924D0A">
        <w:t>for</w:t>
      </w:r>
      <w:r>
        <w:t xml:space="preserve"> a </w:t>
      </w:r>
      <w:r w:rsidR="00924D0A">
        <w:t>commitment</w:t>
      </w:r>
      <w:r w:rsidR="00F7238B">
        <w:t xml:space="preserve"> in the National Action Plan </w:t>
      </w:r>
      <w:r w:rsidR="00924D0A">
        <w:t xml:space="preserve">around the </w:t>
      </w:r>
      <w:r w:rsidR="00924D0A" w:rsidRPr="00924D0A">
        <w:rPr>
          <w:b/>
        </w:rPr>
        <w:t>UN Sustainable Development Goals</w:t>
      </w:r>
      <w:r w:rsidR="00B3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0F05" w14:paraId="09D1C3FD" w14:textId="77777777" w:rsidTr="00F84408">
        <w:tc>
          <w:tcPr>
            <w:tcW w:w="9242" w:type="dxa"/>
            <w:shd w:val="clear" w:color="auto" w:fill="DBE5F1" w:themeFill="accent1" w:themeFillTint="33"/>
          </w:tcPr>
          <w:p w14:paraId="5B1B1CA1" w14:textId="77777777" w:rsidR="00E30F05" w:rsidRDefault="00E30F05" w:rsidP="00F84408">
            <w:pPr>
              <w:keepNext/>
              <w:keepLines/>
              <w:widowControl w:val="0"/>
              <w:rPr>
                <w:rFonts w:cs="Arial"/>
                <w:b/>
              </w:rPr>
            </w:pPr>
          </w:p>
          <w:p w14:paraId="3A263E3B" w14:textId="4E7B7A2A" w:rsidR="00E30F05" w:rsidRDefault="00E30F05" w:rsidP="00F84408">
            <w:pPr>
              <w:keepNext/>
              <w:keepLines/>
              <w:widowControl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For discussion and </w:t>
            </w:r>
            <w:r w:rsidR="00011C8B">
              <w:rPr>
                <w:rFonts w:cs="Arial"/>
                <w:b/>
              </w:rPr>
              <w:t>agreement</w:t>
            </w:r>
            <w:r>
              <w:rPr>
                <w:rFonts w:cs="Arial"/>
                <w:b/>
              </w:rPr>
              <w:t>:</w:t>
            </w:r>
          </w:p>
          <w:p w14:paraId="682E2CEE" w14:textId="77777777" w:rsidR="00E30F05" w:rsidRDefault="00E30F05" w:rsidP="00F84408">
            <w:pPr>
              <w:keepNext/>
              <w:keepLines/>
              <w:widowControl w:val="0"/>
              <w:rPr>
                <w:rFonts w:cs="Arial"/>
              </w:rPr>
            </w:pPr>
          </w:p>
          <w:p w14:paraId="7479A1BF" w14:textId="5EF4588D" w:rsidR="002415E9" w:rsidRPr="002415E9" w:rsidRDefault="007744DA" w:rsidP="00F84408">
            <w:pPr>
              <w:keepNext/>
              <w:keepLines/>
              <w:widowControl w:val="0"/>
            </w:pPr>
            <w:r>
              <w:t>What are the commitments</w:t>
            </w:r>
            <w:r w:rsidR="00011C8B">
              <w:t xml:space="preserve"> aiming to achieve and why? </w:t>
            </w:r>
            <w:r>
              <w:t>Is</w:t>
            </w:r>
            <w:r w:rsidR="00011C8B">
              <w:t xml:space="preserve"> the scope </w:t>
            </w:r>
            <w:r w:rsidR="008E6F86">
              <w:t>and ambition</w:t>
            </w:r>
            <w:r>
              <w:t xml:space="preserve"> appropriate</w:t>
            </w:r>
            <w:r w:rsidR="008E6F86">
              <w:t>? What milestones could be included?</w:t>
            </w:r>
            <w:r w:rsidR="00CC29DC">
              <w:t xml:space="preserve"> How </w:t>
            </w:r>
            <w:r>
              <w:t>do the commitments stack</w:t>
            </w:r>
            <w:r>
              <w:noBreakHyphen/>
            </w:r>
            <w:r w:rsidR="00CC29DC">
              <w:t xml:space="preserve">up against the criteria </w:t>
            </w:r>
            <w:r w:rsidR="002E4826">
              <w:t>set out in</w:t>
            </w:r>
            <w:r w:rsidR="00CC29DC">
              <w:t xml:space="preserve"> the Interim Working Group’s Terms of Reference?</w:t>
            </w:r>
          </w:p>
          <w:p w14:paraId="6A318BEC" w14:textId="77777777" w:rsidR="00E30F05" w:rsidRPr="00063B70" w:rsidRDefault="00E30F05" w:rsidP="00F84408">
            <w:pPr>
              <w:keepNext/>
              <w:keepLines/>
              <w:widowControl w:val="0"/>
              <w:rPr>
                <w:rFonts w:cs="Arial"/>
              </w:rPr>
            </w:pPr>
          </w:p>
        </w:tc>
      </w:tr>
    </w:tbl>
    <w:p w14:paraId="3E5680BC" w14:textId="77777777" w:rsidR="00933156" w:rsidRDefault="00933156" w:rsidP="00724FBE">
      <w:pPr>
        <w:spacing w:before="240" w:after="0"/>
        <w:rPr>
          <w:b/>
          <w:sz w:val="24"/>
          <w:szCs w:val="24"/>
        </w:rPr>
      </w:pPr>
    </w:p>
    <w:sectPr w:rsidR="00933156" w:rsidSect="00CB2FE2">
      <w:headerReference w:type="default" r:id="rId11"/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36DF2" w14:textId="77777777" w:rsidR="0073534E" w:rsidRDefault="0073534E" w:rsidP="00811322">
      <w:pPr>
        <w:spacing w:after="0" w:line="240" w:lineRule="auto"/>
      </w:pPr>
      <w:r>
        <w:separator/>
      </w:r>
    </w:p>
  </w:endnote>
  <w:endnote w:type="continuationSeparator" w:id="0">
    <w:p w14:paraId="68D4B089" w14:textId="77777777" w:rsidR="0073534E" w:rsidRDefault="0073534E" w:rsidP="0081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9E3D9" w14:textId="77777777" w:rsidR="0073534E" w:rsidRDefault="0073534E" w:rsidP="00811322">
      <w:pPr>
        <w:spacing w:after="0" w:line="240" w:lineRule="auto"/>
      </w:pPr>
      <w:r>
        <w:separator/>
      </w:r>
    </w:p>
  </w:footnote>
  <w:footnote w:type="continuationSeparator" w:id="0">
    <w:p w14:paraId="2646C85D" w14:textId="77777777" w:rsidR="0073534E" w:rsidRDefault="0073534E" w:rsidP="0081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AEA0F" w14:textId="7D379849" w:rsidR="00197744" w:rsidRDefault="003B10AE" w:rsidP="00197744">
    <w:pPr>
      <w:pStyle w:val="Header"/>
      <w:jc w:val="right"/>
      <w:rPr>
        <w:b/>
      </w:rPr>
    </w:pPr>
    <w:r>
      <w:rPr>
        <w:b/>
      </w:rPr>
      <w:t>AGENDA ITEM 3</w:t>
    </w:r>
  </w:p>
  <w:p w14:paraId="6FA2112C" w14:textId="77777777" w:rsidR="00197744" w:rsidRDefault="00197744" w:rsidP="00197744">
    <w:pPr>
      <w:pStyle w:val="Header"/>
      <w:jc w:val="right"/>
    </w:pPr>
    <w:r>
      <w:rPr>
        <w:b/>
      </w:rPr>
      <w:tab/>
    </w:r>
    <w:r>
      <w:rPr>
        <w:b/>
      </w:rPr>
      <w:tab/>
    </w:r>
    <w:r>
      <w:t>Interim Working Group</w:t>
    </w:r>
  </w:p>
  <w:p w14:paraId="3779A904" w14:textId="458913E0" w:rsidR="00197744" w:rsidRPr="00ED7335" w:rsidRDefault="00197744" w:rsidP="00197744">
    <w:pPr>
      <w:pStyle w:val="Header"/>
      <w:jc w:val="right"/>
      <w:rPr>
        <w:color w:val="FF0000"/>
      </w:rPr>
    </w:pPr>
    <w:r>
      <w:t>1</w:t>
    </w:r>
    <w:r w:rsidR="0056680B">
      <w:t>9</w:t>
    </w:r>
    <w:r>
      <w:t xml:space="preserve"> September 2016</w:t>
    </w:r>
  </w:p>
  <w:p w14:paraId="2BA0D181" w14:textId="77777777" w:rsidR="00197744" w:rsidRDefault="001977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181"/>
    <w:multiLevelType w:val="hybridMultilevel"/>
    <w:tmpl w:val="663803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311B"/>
    <w:multiLevelType w:val="hybridMultilevel"/>
    <w:tmpl w:val="97C4DB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E6600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76AA"/>
    <w:multiLevelType w:val="hybridMultilevel"/>
    <w:tmpl w:val="4B882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434"/>
    <w:multiLevelType w:val="multilevel"/>
    <w:tmpl w:val="F54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212A5"/>
    <w:multiLevelType w:val="hybridMultilevel"/>
    <w:tmpl w:val="5D064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B1757"/>
    <w:multiLevelType w:val="hybridMultilevel"/>
    <w:tmpl w:val="166A4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440D8"/>
    <w:multiLevelType w:val="hybridMultilevel"/>
    <w:tmpl w:val="9D2E72A4"/>
    <w:lvl w:ilvl="0" w:tplc="9432C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970EF"/>
    <w:multiLevelType w:val="hybridMultilevel"/>
    <w:tmpl w:val="C6183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22ADE"/>
    <w:multiLevelType w:val="hybridMultilevel"/>
    <w:tmpl w:val="9FB459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F4C27"/>
    <w:multiLevelType w:val="hybridMultilevel"/>
    <w:tmpl w:val="7D242E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007A9C"/>
    <w:multiLevelType w:val="hybridMultilevel"/>
    <w:tmpl w:val="F228A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A5490"/>
    <w:multiLevelType w:val="hybridMultilevel"/>
    <w:tmpl w:val="A9E40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26231"/>
    <w:multiLevelType w:val="hybridMultilevel"/>
    <w:tmpl w:val="2884C7F8"/>
    <w:lvl w:ilvl="0" w:tplc="163670C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F114D6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"/>
  </w:num>
  <w:num w:numId="5">
    <w:abstractNumId w:val="13"/>
  </w:num>
  <w:num w:numId="6">
    <w:abstractNumId w:val="8"/>
  </w:num>
  <w:num w:numId="7">
    <w:abstractNumId w:val="3"/>
  </w:num>
  <w:num w:numId="8">
    <w:abstractNumId w:val="6"/>
  </w:num>
  <w:num w:numId="9">
    <w:abstractNumId w:val="15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9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18"/>
    <w:rsid w:val="00011C8B"/>
    <w:rsid w:val="00014F10"/>
    <w:rsid w:val="00020216"/>
    <w:rsid w:val="00063B70"/>
    <w:rsid w:val="000873F6"/>
    <w:rsid w:val="00097F07"/>
    <w:rsid w:val="000B0A18"/>
    <w:rsid w:val="000B336B"/>
    <w:rsid w:val="00122D2B"/>
    <w:rsid w:val="001262C8"/>
    <w:rsid w:val="001670BF"/>
    <w:rsid w:val="00185FDE"/>
    <w:rsid w:val="00197744"/>
    <w:rsid w:val="001D2E70"/>
    <w:rsid w:val="001E7D23"/>
    <w:rsid w:val="00225D28"/>
    <w:rsid w:val="002415E9"/>
    <w:rsid w:val="002A22F7"/>
    <w:rsid w:val="002D5716"/>
    <w:rsid w:val="002E13F3"/>
    <w:rsid w:val="002E4826"/>
    <w:rsid w:val="002E6F18"/>
    <w:rsid w:val="002E7792"/>
    <w:rsid w:val="002E7ABE"/>
    <w:rsid w:val="00310F1E"/>
    <w:rsid w:val="00315046"/>
    <w:rsid w:val="00323C30"/>
    <w:rsid w:val="0034456D"/>
    <w:rsid w:val="003A1DD3"/>
    <w:rsid w:val="003B10AE"/>
    <w:rsid w:val="003C7C63"/>
    <w:rsid w:val="003E551B"/>
    <w:rsid w:val="00441F62"/>
    <w:rsid w:val="004F1442"/>
    <w:rsid w:val="00531330"/>
    <w:rsid w:val="0056680B"/>
    <w:rsid w:val="00567A65"/>
    <w:rsid w:val="005721AD"/>
    <w:rsid w:val="005916A1"/>
    <w:rsid w:val="005C0B57"/>
    <w:rsid w:val="005D57D7"/>
    <w:rsid w:val="00616C3B"/>
    <w:rsid w:val="00680859"/>
    <w:rsid w:val="0069755C"/>
    <w:rsid w:val="006A30D5"/>
    <w:rsid w:val="006B23D6"/>
    <w:rsid w:val="006B47A3"/>
    <w:rsid w:val="006D2C28"/>
    <w:rsid w:val="006F7332"/>
    <w:rsid w:val="0071234E"/>
    <w:rsid w:val="00714A4F"/>
    <w:rsid w:val="00716E43"/>
    <w:rsid w:val="00724FBE"/>
    <w:rsid w:val="0073534E"/>
    <w:rsid w:val="007511D4"/>
    <w:rsid w:val="007560E4"/>
    <w:rsid w:val="007635D7"/>
    <w:rsid w:val="00771D75"/>
    <w:rsid w:val="007744DA"/>
    <w:rsid w:val="007B5CA8"/>
    <w:rsid w:val="00811322"/>
    <w:rsid w:val="00825512"/>
    <w:rsid w:val="00863D5C"/>
    <w:rsid w:val="00892EE1"/>
    <w:rsid w:val="008B5623"/>
    <w:rsid w:val="008E4A21"/>
    <w:rsid w:val="008E6F86"/>
    <w:rsid w:val="00911692"/>
    <w:rsid w:val="00915DE9"/>
    <w:rsid w:val="009208BA"/>
    <w:rsid w:val="00924D0A"/>
    <w:rsid w:val="00933156"/>
    <w:rsid w:val="00954E1C"/>
    <w:rsid w:val="009703EA"/>
    <w:rsid w:val="00987354"/>
    <w:rsid w:val="0099175E"/>
    <w:rsid w:val="009C793A"/>
    <w:rsid w:val="00A126A1"/>
    <w:rsid w:val="00A338DC"/>
    <w:rsid w:val="00A355B9"/>
    <w:rsid w:val="00A43C32"/>
    <w:rsid w:val="00A45FDF"/>
    <w:rsid w:val="00AA0D54"/>
    <w:rsid w:val="00AB39A9"/>
    <w:rsid w:val="00B27341"/>
    <w:rsid w:val="00B376BC"/>
    <w:rsid w:val="00BB43C3"/>
    <w:rsid w:val="00BC4E07"/>
    <w:rsid w:val="00C03C6C"/>
    <w:rsid w:val="00C2218C"/>
    <w:rsid w:val="00C32701"/>
    <w:rsid w:val="00C46C82"/>
    <w:rsid w:val="00CA3036"/>
    <w:rsid w:val="00CB2FE2"/>
    <w:rsid w:val="00CC29DC"/>
    <w:rsid w:val="00CE704D"/>
    <w:rsid w:val="00D0145B"/>
    <w:rsid w:val="00D1757C"/>
    <w:rsid w:val="00D2227E"/>
    <w:rsid w:val="00D35EF8"/>
    <w:rsid w:val="00DA3832"/>
    <w:rsid w:val="00DB1EF1"/>
    <w:rsid w:val="00DC687E"/>
    <w:rsid w:val="00DC786E"/>
    <w:rsid w:val="00DF004E"/>
    <w:rsid w:val="00E30F05"/>
    <w:rsid w:val="00E75EEB"/>
    <w:rsid w:val="00E93F6A"/>
    <w:rsid w:val="00EA0BB8"/>
    <w:rsid w:val="00EB14FC"/>
    <w:rsid w:val="00EB7924"/>
    <w:rsid w:val="00EE241F"/>
    <w:rsid w:val="00F0484F"/>
    <w:rsid w:val="00F26BE0"/>
    <w:rsid w:val="00F47377"/>
    <w:rsid w:val="00F64115"/>
    <w:rsid w:val="00F7238B"/>
    <w:rsid w:val="00F94595"/>
    <w:rsid w:val="00F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E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Cab,Recommendation,List Paragraph1,List Paragraph11,FooterText,numbered,Paragraphe de liste1,Bulletr List Paragraph,列出段落,列出段落1,List Paragraph2,List Paragraph21,Listeafsnit1,Parágrafo da Lista1,Párrafo de lista1,リスト段落1,L"/>
    <w:basedOn w:val="Normal"/>
    <w:link w:val="ListParagraphChar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Text Cab"/>
    <w:link w:val="BodyTextChar"/>
    <w:qFormat/>
    <w:rsid w:val="005C0B57"/>
    <w:pPr>
      <w:spacing w:before="120" w:after="120" w:line="240" w:lineRule="auto"/>
    </w:pPr>
    <w:rPr>
      <w:rFonts w:ascii="Arial" w:hAnsi="Arial"/>
    </w:rPr>
  </w:style>
  <w:style w:type="character" w:customStyle="1" w:styleId="BodyTextChar">
    <w:name w:val="Body Text Char"/>
    <w:aliases w:val="Body Text Cab Char"/>
    <w:basedOn w:val="DefaultParagraphFont"/>
    <w:link w:val="BodyText"/>
    <w:rsid w:val="005C0B57"/>
    <w:rPr>
      <w:rFonts w:ascii="Arial" w:hAnsi="Arial"/>
    </w:rPr>
  </w:style>
  <w:style w:type="character" w:customStyle="1" w:styleId="ListParagraphChar">
    <w:name w:val="List Paragraph Char"/>
    <w:aliases w:val="List Bullet Cab Char,Recommendation Char,List Paragraph1 Char,List Paragraph11 Char,FooterText Char,numbered Char,Paragraphe de liste1 Char,Bulletr List Paragraph Char,列出段落 Char,列出段落1 Char,List Paragraph2 Char,List Paragraph21 Char"/>
    <w:basedOn w:val="DefaultParagraphFont"/>
    <w:link w:val="ListParagraph"/>
    <w:uiPriority w:val="2"/>
    <w:locked/>
    <w:rsid w:val="005C0B57"/>
  </w:style>
  <w:style w:type="character" w:styleId="FollowedHyperlink">
    <w:name w:val="FollowedHyperlink"/>
    <w:basedOn w:val="DefaultParagraphFont"/>
    <w:uiPriority w:val="99"/>
    <w:semiHidden/>
    <w:unhideWhenUsed/>
    <w:rsid w:val="0093315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B10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Cab,Recommendation,List Paragraph1,List Paragraph11,FooterText,numbered,Paragraphe de liste1,Bulletr List Paragraph,列出段落,列出段落1,List Paragraph2,List Paragraph21,Listeafsnit1,Parágrafo da Lista1,Párrafo de lista1,リスト段落1,L"/>
    <w:basedOn w:val="Normal"/>
    <w:link w:val="ListParagraphChar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Body Text Cab"/>
    <w:link w:val="BodyTextChar"/>
    <w:qFormat/>
    <w:rsid w:val="005C0B57"/>
    <w:pPr>
      <w:spacing w:before="120" w:after="120" w:line="240" w:lineRule="auto"/>
    </w:pPr>
    <w:rPr>
      <w:rFonts w:ascii="Arial" w:hAnsi="Arial"/>
    </w:rPr>
  </w:style>
  <w:style w:type="character" w:customStyle="1" w:styleId="BodyTextChar">
    <w:name w:val="Body Text Char"/>
    <w:aliases w:val="Body Text Cab Char"/>
    <w:basedOn w:val="DefaultParagraphFont"/>
    <w:link w:val="BodyText"/>
    <w:rsid w:val="005C0B57"/>
    <w:rPr>
      <w:rFonts w:ascii="Arial" w:hAnsi="Arial"/>
    </w:rPr>
  </w:style>
  <w:style w:type="character" w:customStyle="1" w:styleId="ListParagraphChar">
    <w:name w:val="List Paragraph Char"/>
    <w:aliases w:val="List Bullet Cab Char,Recommendation Char,List Paragraph1 Char,List Paragraph11 Char,FooterText Char,numbered Char,Paragraphe de liste1 Char,Bulletr List Paragraph Char,列出段落 Char,列出段落1 Char,List Paragraph2 Char,List Paragraph21 Char"/>
    <w:basedOn w:val="DefaultParagraphFont"/>
    <w:link w:val="ListParagraph"/>
    <w:uiPriority w:val="2"/>
    <w:locked/>
    <w:rsid w:val="005C0B57"/>
  </w:style>
  <w:style w:type="character" w:styleId="FollowedHyperlink">
    <w:name w:val="FollowedHyperlink"/>
    <w:basedOn w:val="DefaultParagraphFont"/>
    <w:uiPriority w:val="99"/>
    <w:semiHidden/>
    <w:unhideWhenUsed/>
    <w:rsid w:val="0093315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B1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AE397-AF38-4E34-8FAA-D813B2318FB6}"/>
</file>

<file path=customXml/itemProps2.xml><?xml version="1.0" encoding="utf-8"?>
<ds:datastoreItem xmlns:ds="http://schemas.openxmlformats.org/officeDocument/2006/customXml" ds:itemID="{9203E2E1-86A6-496B-88A8-B0E46A82C49E}"/>
</file>

<file path=customXml/itemProps3.xml><?xml version="1.0" encoding="utf-8"?>
<ds:datastoreItem xmlns:ds="http://schemas.openxmlformats.org/officeDocument/2006/customXml" ds:itemID="{06154A20-C970-4564-AE07-11EA35F894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Black, Ryan</cp:lastModifiedBy>
  <cp:revision>64</cp:revision>
  <cp:lastPrinted>2016-09-07T01:20:00Z</cp:lastPrinted>
  <dcterms:created xsi:type="dcterms:W3CDTF">2016-08-31T05:22:00Z</dcterms:created>
  <dcterms:modified xsi:type="dcterms:W3CDTF">2016-09-16T09:10:00Z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