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ascii="Arial" w:hAnsi="Arial" w:cs="Arial"/>
          <w:sz w:val="22"/>
        </w:rPr>
      </w:pPr>
    </w:p>
    <w:tbl>
      <w:tblPr>
        <w:tblStyle w:val="11"/>
        <w:tblW w:w="9252" w:type="dxa"/>
        <w:tblInd w:w="-82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606"/>
        <w:gridCol w:w="4646"/>
      </w:tblGrid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252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000000" w:sz="18" w:space="0"/>
              <w:right w:val="single" w:color="FFFFFF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MARTILLERO, CORREDOR PÚBLICO Y TASADOR  </w:t>
            </w:r>
          </w:p>
          <w:p>
            <w:pPr>
              <w:jc w:val="center"/>
            </w:pPr>
            <w:r>
              <w:rPr>
                <w:rFonts w:ascii="Arial" w:hAnsi="Arial" w:cs="Arial"/>
                <w:b/>
                <w:sz w:val="15"/>
                <w:szCs w:val="15"/>
              </w:rPr>
              <w:t xml:space="preserve">SISTEMA DE EDUCACIÓN ABIERTA Y A DISTANCIA - MATHEU 4098- B7602GCD - MAR DEL PLATA- </w:t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550" w:hRule="atLeast"/>
        </w:trPr>
        <w:tc>
          <w:tcPr>
            <w:tcW w:w="4606" w:type="dxa"/>
            <w:tcBorders>
              <w:top w:val="single" w:color="000000" w:sz="18" w:space="0"/>
              <w:left w:val="single" w:color="FFFFFF" w:sz="4" w:space="0"/>
              <w:bottom w:val="single" w:color="000000" w:sz="18" w:space="0"/>
            </w:tcBorders>
            <w:shd w:val="clear" w:color="auto" w:fill="auto"/>
          </w:tcPr>
          <w:p>
            <w:pPr>
              <w:jc w:val="right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REGISTRACIÓN Y LIBROS DEL MARTILLERO Y CORREDORES</w:t>
            </w:r>
          </w:p>
        </w:tc>
        <w:tc>
          <w:tcPr>
            <w:tcW w:w="4646" w:type="dxa"/>
            <w:vMerge w:val="restart"/>
            <w:tcBorders>
              <w:top w:val="single" w:color="000000" w:sz="18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ascii="Arial" w:hAnsi="Arial" w:cs="Arial"/>
                <w:b/>
                <w:sz w:val="24"/>
                <w:lang w:eastAsia="es-ES"/>
              </w:rPr>
              <w:drawing>
                <wp:inline distT="0" distB="0" distL="0" distR="0">
                  <wp:extent cx="1924050" cy="1438275"/>
                  <wp:effectExtent l="19050" t="0" r="0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438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606" w:type="dxa"/>
            <w:tcBorders>
              <w:top w:val="single" w:color="000000" w:sz="18" w:space="0"/>
              <w:left w:val="single" w:color="FFFFFF" w:sz="4" w:space="0"/>
              <w:bottom w:val="single" w:color="FFFFFF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EVALUACIÓN PARCIAL </w:t>
            </w:r>
          </w:p>
          <w:p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</w:t>
            </w:r>
          </w:p>
        </w:tc>
        <w:tc>
          <w:tcPr>
            <w:tcW w:w="4646" w:type="dxa"/>
            <w:vMerge w:val="continu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>
      <w:pPr>
        <w:jc w:val="center"/>
        <w:rPr>
          <w:rFonts w:ascii="Arial" w:hAnsi="Arial" w:cs="Arial"/>
          <w:b/>
          <w:sz w:val="24"/>
        </w:rPr>
      </w:pPr>
    </w:p>
    <w:p>
      <w:pPr>
        <w:rPr>
          <w:rFonts w:ascii="Arial" w:hAnsi="Arial" w:cs="Arial"/>
          <w:sz w:val="22"/>
        </w:rPr>
      </w:pPr>
    </w:p>
    <w:p>
      <w:pPr>
        <w:rPr>
          <w:rFonts w:ascii="Arial" w:hAnsi="Arial" w:cs="Arial"/>
          <w:sz w:val="22"/>
        </w:rPr>
      </w:pPr>
    </w:p>
    <w:tbl>
      <w:tblPr>
        <w:tblStyle w:val="11"/>
        <w:tblW w:w="8996" w:type="dxa"/>
        <w:tblInd w:w="-12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013"/>
        <w:gridCol w:w="163"/>
        <w:gridCol w:w="1113"/>
        <w:gridCol w:w="163"/>
        <w:gridCol w:w="1255"/>
        <w:gridCol w:w="163"/>
        <w:gridCol w:w="1126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176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CREAP           </w:t>
            </w:r>
          </w:p>
        </w:tc>
        <w:tc>
          <w:tcPr>
            <w:tcW w:w="3820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bCs/>
              </w:rPr>
              <w:t>FECHA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85" w:hRule="atLeast"/>
        </w:trPr>
        <w:tc>
          <w:tcPr>
            <w:tcW w:w="5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35"/>
              <w:tabs>
                <w:tab w:val="clear" w:pos="7880"/>
              </w:tabs>
              <w:spacing w:before="60" w:after="60"/>
              <w:rPr>
                <w:rFonts w:hint="default" w:ascii="Arial" w:hAnsi="Arial" w:cs="Arial"/>
                <w:lang w:val="en-US"/>
              </w:rPr>
            </w:pPr>
            <w:bookmarkStart w:id="0" w:name="__Fieldmark__118_1247539006"/>
            <w: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" w:hAnsi="Arial" w:eastAsia="Arial" w:cs="Arial"/>
                <w:b/>
                <w:sz w:val="24"/>
                <w:szCs w:val="24"/>
                <w:lang w:val="es-AR" w:eastAsia="es-AR"/>
              </w:rPr>
              <w:t>    </w:t>
            </w:r>
            <w:r>
              <w:rPr>
                <w:rFonts w:ascii="Arial" w:hAnsi="Arial" w:cs="Arial"/>
                <w:b/>
                <w:sz w:val="24"/>
                <w:szCs w:val="24"/>
                <w:lang w:val="es-AR" w:eastAsia="es-AR"/>
              </w:rPr>
              <w:t> </w:t>
            </w:r>
            <w:r>
              <w:rPr>
                <w:rFonts w:ascii="Arial" w:hAnsi="Arial" w:cs="Arial"/>
                <w:b/>
                <w:sz w:val="24"/>
                <w:szCs w:val="24"/>
                <w:lang w:val="es-AR" w:eastAsia="es-AR"/>
              </w:rPr>
              <w:fldChar w:fldCharType="end"/>
            </w:r>
            <w:bookmarkEnd w:id="0"/>
            <w:r>
              <w:rPr>
                <w:rFonts w:hint="default" w:ascii="Arial" w:hAnsi="Arial" w:cs="Arial"/>
                <w:b/>
                <w:sz w:val="24"/>
                <w:szCs w:val="24"/>
                <w:lang w:val="en-US" w:eastAsia="es-AR"/>
              </w:rPr>
              <w:t>Mar del Plata</w:t>
            </w:r>
          </w:p>
        </w:tc>
        <w:tc>
          <w:tcPr>
            <w:tcW w:w="163" w:type="dxa"/>
            <w:tcBorders>
              <w:top w:val="single" w:color="FFFFFF" w:sz="8" w:space="0"/>
              <w:left w:val="single" w:color="000000" w:sz="8" w:space="0"/>
              <w:bottom w:val="single" w:color="FFFFFF" w:sz="8" w:space="0"/>
            </w:tcBorders>
            <w:shd w:val="clear" w:color="auto" w:fill="auto"/>
          </w:tcPr>
          <w:p>
            <w:pPr>
              <w:pStyle w:val="35"/>
              <w:tabs>
                <w:tab w:val="clear" w:pos="7880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1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35"/>
              <w:tabs>
                <w:tab w:val="clear" w:pos="7880"/>
              </w:tabs>
              <w:spacing w:before="60" w:after="6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/>
                <w:lang w:val="en-US"/>
              </w:rPr>
              <w:t>16</w:t>
            </w:r>
          </w:p>
        </w:tc>
        <w:tc>
          <w:tcPr>
            <w:tcW w:w="163" w:type="dxa"/>
            <w:tcBorders>
              <w:top w:val="single" w:color="FFFFFF" w:sz="8" w:space="0"/>
              <w:left w:val="single" w:color="000000" w:sz="8" w:space="0"/>
              <w:bottom w:val="single" w:color="FFFFFF" w:sz="8" w:space="0"/>
            </w:tcBorders>
            <w:shd w:val="clear" w:color="auto" w:fill="auto"/>
          </w:tcPr>
          <w:p>
            <w:pPr>
              <w:pStyle w:val="35"/>
              <w:tabs>
                <w:tab w:val="clear" w:pos="7880"/>
              </w:tabs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35"/>
              <w:tabs>
                <w:tab w:val="clear" w:pos="7880"/>
              </w:tabs>
              <w:spacing w:before="60" w:after="6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/>
                <w:lang w:val="en-US"/>
              </w:rPr>
              <w:t>noviembre</w:t>
            </w:r>
          </w:p>
        </w:tc>
        <w:tc>
          <w:tcPr>
            <w:tcW w:w="163" w:type="dxa"/>
            <w:tcBorders>
              <w:top w:val="single" w:color="FFFFFF" w:sz="8" w:space="0"/>
              <w:left w:val="single" w:color="000000" w:sz="8" w:space="0"/>
              <w:bottom w:val="single" w:color="FFFFFF" w:sz="8" w:space="0"/>
            </w:tcBorders>
            <w:shd w:val="clear" w:color="auto" w:fill="auto"/>
          </w:tcPr>
          <w:p>
            <w:pPr>
              <w:pStyle w:val="35"/>
              <w:tabs>
                <w:tab w:val="clear" w:pos="7880"/>
              </w:tabs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5"/>
              <w:tabs>
                <w:tab w:val="clear" w:pos="7880"/>
              </w:tabs>
              <w:spacing w:before="60" w:after="6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2019</w:t>
            </w:r>
          </w:p>
        </w:tc>
      </w:tr>
    </w:tbl>
    <w:p/>
    <w:tbl>
      <w:tblPr>
        <w:tblStyle w:val="11"/>
        <w:tblW w:w="8939" w:type="dxa"/>
        <w:tblInd w:w="-12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939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939" w:type="dxa"/>
            <w:tcBorders>
              <w:top w:val="single" w:color="FFFFFF" w:sz="8" w:space="0"/>
              <w:left w:val="single" w:color="FFFFFF" w:sz="8" w:space="0"/>
              <w:bottom w:val="single" w:color="000000" w:sz="8" w:space="0"/>
              <w:right w:val="single" w:color="FFFFFF" w:sz="8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bCs/>
              </w:rPr>
              <w:t>ALUMNO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before="60" w:after="6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Angelucci Silvia</w:t>
            </w:r>
          </w:p>
        </w:tc>
      </w:tr>
    </w:tbl>
    <w:p/>
    <w:tbl>
      <w:tblPr>
        <w:tblStyle w:val="11"/>
        <w:tblW w:w="8939" w:type="dxa"/>
        <w:tblInd w:w="-12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939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939" w:type="dxa"/>
            <w:tcBorders>
              <w:top w:val="single" w:color="FFFFFF" w:sz="8" w:space="0"/>
              <w:left w:val="single" w:color="FFFFFF" w:sz="8" w:space="0"/>
              <w:bottom w:val="single" w:color="000000" w:sz="8" w:space="0"/>
              <w:right w:val="single" w:color="FFFFFF" w:sz="8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bCs/>
              </w:rPr>
              <w:t>DNI Nº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before="60" w:after="6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13920896</w:t>
            </w:r>
          </w:p>
        </w:tc>
      </w:tr>
    </w:tbl>
    <w:p/>
    <w:p>
      <w:pPr>
        <w:jc w:val="both"/>
        <w:rPr>
          <w:rFonts w:ascii="Arial" w:hAnsi="Arial" w:cs="Arial"/>
          <w:sz w:val="22"/>
        </w:rPr>
      </w:pPr>
    </w:p>
    <w:p>
      <w:pPr>
        <w:jc w:val="both"/>
        <w:rPr>
          <w:rFonts w:ascii="Arial" w:hAnsi="Arial" w:cs="Arial"/>
          <w:sz w:val="22"/>
        </w:rPr>
      </w:pPr>
    </w:p>
    <w:p>
      <w:pPr>
        <w:jc w:val="both"/>
        <w:rPr>
          <w:rFonts w:ascii="Arial" w:hAnsi="Arial" w:cs="Arial"/>
          <w:sz w:val="22"/>
        </w:rPr>
      </w:pPr>
    </w:p>
    <w:p>
      <w:pPr>
        <w:jc w:val="both"/>
        <w:rPr>
          <w:rFonts w:ascii="Arial" w:hAnsi="Arial" w:cs="Arial"/>
          <w:sz w:val="22"/>
        </w:rPr>
      </w:pPr>
    </w:p>
    <w:p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La Evaluación parcial debe resolverse en el plazo fijado por la cátedra</w:t>
      </w:r>
    </w:p>
    <w:p>
      <w:pPr>
        <w:ind w:left="360"/>
        <w:jc w:val="both"/>
        <w:rPr>
          <w:rFonts w:ascii="Arial" w:hAnsi="Arial" w:cs="Arial"/>
        </w:rPr>
      </w:pPr>
    </w:p>
    <w:p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entrega de la misma se realiza de acuerdo con el procedimiento que Ud ya ha utilizado en otras aulas.</w:t>
      </w:r>
    </w:p>
    <w:p>
      <w:pPr>
        <w:pStyle w:val="38"/>
        <w:rPr>
          <w:rFonts w:ascii="Arial" w:hAnsi="Arial" w:cs="Arial"/>
        </w:rPr>
      </w:pPr>
    </w:p>
    <w:p>
      <w:pPr>
        <w:ind w:left="720"/>
        <w:jc w:val="both"/>
        <w:rPr>
          <w:rFonts w:ascii="Arial" w:hAnsi="Arial" w:cs="Arial"/>
        </w:rPr>
      </w:pPr>
    </w:p>
    <w:p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olvide colocar en su archivo un nombre informativo del contenido (Evaluación parcial.  Pérez)</w:t>
      </w:r>
    </w:p>
    <w:p>
      <w:pPr>
        <w:ind w:left="720"/>
        <w:jc w:val="both"/>
        <w:rPr>
          <w:rFonts w:ascii="Arial" w:hAnsi="Arial" w:cs="Arial"/>
        </w:rPr>
      </w:pPr>
    </w:p>
    <w:p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sugerimos que lea atentamente cada consigna y responda a cada una de ellas.</w:t>
      </w:r>
    </w:p>
    <w:p>
      <w:pPr>
        <w:pStyle w:val="38"/>
        <w:rPr>
          <w:rFonts w:ascii="Arial" w:hAnsi="Arial" w:cs="Arial"/>
        </w:rPr>
      </w:pPr>
    </w:p>
    <w:p>
      <w:pPr>
        <w:ind w:left="720"/>
        <w:jc w:val="both"/>
        <w:rPr>
          <w:rFonts w:ascii="Arial" w:hAnsi="Arial" w:cs="Arial"/>
        </w:rPr>
      </w:pPr>
    </w:p>
    <w:p>
      <w:pPr>
        <w:numPr>
          <w:ilvl w:val="0"/>
          <w:numId w:val="1"/>
        </w:numPr>
        <w:jc w:val="both"/>
      </w:pPr>
      <w:r>
        <w:rPr>
          <w:rFonts w:ascii="Arial" w:hAnsi="Arial" w:cs="Arial"/>
        </w:rPr>
        <w:t>Por otra parte, ratificamos lo pautado en el encuadre de la asignatura:</w:t>
      </w:r>
    </w:p>
    <w:p>
      <w:pPr>
        <w:jc w:val="both"/>
      </w:pPr>
    </w:p>
    <w:p>
      <w:pPr>
        <w:ind w:left="36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</w:t>
      </w:r>
      <w:r>
        <w:rPr>
          <w:rFonts w:ascii="Arial" w:hAnsi="Arial" w:cs="Arial"/>
        </w:rPr>
        <w:t>Como se trata de una evaluación  domiciliaria, para cuya resolución cuenta con la posibilidad de consultar bibliografía y con el tiempo suficiente para la construcción discursiva, se espera que cada producción refleje el análisis, reflexiones y elaboraciones personales debidamente fundadas y no una mera copia textual de la bibliografía ó de documentos de cátedra publicados en el Aula,</w:t>
      </w:r>
    </w:p>
    <w:p>
      <w:p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Se descalificarán automáticamente las respuestas que revelen plagio</w:t>
      </w:r>
      <w:r>
        <w:t xml:space="preserve">. </w:t>
      </w:r>
    </w:p>
    <w:p>
      <w:pPr>
        <w:jc w:val="both"/>
        <w:rPr>
          <w:rFonts w:ascii="Arial" w:hAnsi="Arial" w:cs="Arial"/>
          <w:sz w:val="22"/>
        </w:rPr>
      </w:pPr>
    </w:p>
    <w:p>
      <w:pPr>
        <w:jc w:val="both"/>
        <w:rPr>
          <w:rFonts w:ascii="Arial" w:hAnsi="Arial" w:cs="Arial"/>
          <w:sz w:val="22"/>
        </w:rPr>
      </w:pPr>
    </w:p>
    <w:p>
      <w:pPr>
        <w:jc w:val="both"/>
      </w:pPr>
    </w:p>
    <w:p>
      <w:pPr>
        <w:jc w:val="both"/>
      </w:pPr>
    </w:p>
    <w:tbl>
      <w:tblPr>
        <w:tblStyle w:val="11"/>
        <w:tblW w:w="9252" w:type="dxa"/>
        <w:tblInd w:w="-53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252"/>
      </w:tblGrid>
      <w:tr>
        <w:tblPrEx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925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ascii="Arial" w:hAnsi="Arial" w:cs="Arial"/>
                <w:b/>
                <w:sz w:val="24"/>
              </w:rPr>
              <w:t xml:space="preserve">MARTILLERO, CORREDOR PÚBLICO Y TASADOR  </w:t>
            </w:r>
          </w:p>
        </w:tc>
      </w:tr>
      <w:tr>
        <w:tblPrEx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9252" w:type="dxa"/>
            <w:tcBorders>
              <w:top w:val="single" w:color="FFFFFF" w:sz="4" w:space="0"/>
              <w:left w:val="single" w:color="FFFFFF" w:sz="4" w:space="0"/>
              <w:bottom w:val="single" w:color="000000" w:sz="24" w:space="0"/>
              <w:right w:val="single" w:color="FFFFFF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REGISTRACIÓN </w:t>
            </w:r>
          </w:p>
        </w:tc>
      </w:tr>
    </w:tbl>
    <w:p>
      <w:pPr>
        <w:rPr>
          <w:rFonts w:ascii="Book Antiqua" w:hAnsi="Book Antiqua"/>
          <w:b/>
          <w:sz w:val="24"/>
          <w:szCs w:val="24"/>
        </w:rPr>
      </w:pPr>
    </w:p>
    <w:p>
      <w:pPr>
        <w:rPr>
          <w:rFonts w:ascii="Book Antiqua" w:hAnsi="Book Antiqua"/>
          <w:b/>
          <w:sz w:val="24"/>
          <w:szCs w:val="24"/>
        </w:rPr>
      </w:pPr>
    </w:p>
    <w:p>
      <w:pPr>
        <w:spacing w:before="100" w:beforeAutospacing="1" w:after="100" w:afterAutospacing="1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Consignas: </w:t>
      </w:r>
    </w:p>
    <w:p>
      <w:pPr>
        <w:spacing w:before="100" w:beforeAutospacing="1" w:after="100" w:afterAutospacing="1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1) Puede el corredor ejercer sin encontrarse matriculado? De hacerlo, tiene derecho a percibir una remuneración ? Fundamente la respuesta en las normas enumeradas durante la cursada  </w:t>
      </w:r>
    </w:p>
    <w:p>
      <w:pPr>
        <w:spacing w:before="100" w:beforeAutospacing="1" w:after="100" w:afterAutospacing="1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2) Puede un corredor adquirir para sí un bien objeto del contrato u operación en la que intermedia? Fundamente</w:t>
      </w:r>
    </w:p>
    <w:p>
      <w:pPr>
        <w:spacing w:before="100" w:beforeAutospacing="1" w:after="100" w:afterAutospacing="1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3) Ante qué requerimientos cede el deber de confidencialidad que recae sobre el Corredor ?</w:t>
      </w:r>
    </w:p>
    <w:p>
      <w:pPr>
        <w:spacing w:before="100" w:beforeAutospacing="1" w:after="100" w:afterAutospacing="1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4) El Martillero como auxiliar de justicia. Describa su actuación y en qué casos actúa.</w:t>
      </w:r>
    </w:p>
    <w:p>
      <w:pPr>
        <w:spacing w:before="100" w:beforeAutospacing="1" w:after="100" w:afterAutospacing="1"/>
        <w:jc w:val="both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>
      <w:pPr>
        <w:numPr>
          <w:ilvl w:val="0"/>
          <w:numId w:val="2"/>
        </w:numPr>
        <w:spacing w:before="100" w:beforeAutospacing="1" w:after="100" w:afterAutospacing="1"/>
        <w:ind w:left="55" w:left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El corredor NO PUEDE ejercer la actividad sin antes poseer ttulo universitario habilitante a tales efectos e inscribirse en la respectiva matricula de su jurisdiccion. De hacerlo sin estos requisitos NO TIENE ningun derecho a percibir  la remuneraccion prevista en el art. 37 ni  retribucion de ninguna especie.. Para ser corredor se requieren las siguientes condiciones habilitantes: </w:t>
      </w:r>
    </w:p>
    <w:p>
      <w:pPr>
        <w:numPr>
          <w:ilvl w:val="0"/>
          <w:numId w:val="3"/>
        </w:numPr>
        <w:spacing w:before="100" w:beforeAutospacing="1" w:after="100" w:afterAutospacing="1"/>
        <w:ind w:left="55" w:left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Ser mayor de edad y no estar comprendido en ninguna de las inhabilidades segun el CCYC..</w:t>
      </w:r>
    </w:p>
    <w:p>
      <w:pPr>
        <w:numPr>
          <w:ilvl w:val="0"/>
          <w:numId w:val="3"/>
        </w:numPr>
        <w:spacing w:before="100" w:beforeAutospacing="1" w:after="100" w:afterAutospacing="1"/>
        <w:ind w:left="55" w:left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Poseer  titulo universitario.</w:t>
      </w:r>
    </w:p>
    <w:p>
      <w:pPr>
        <w:numPr>
          <w:ilvl w:val="0"/>
          <w:numId w:val="3"/>
        </w:numPr>
        <w:spacing w:before="100" w:beforeAutospacing="1" w:after="100" w:afterAutospacing="1"/>
        <w:ind w:left="55" w:left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Inscribirse en la matricula de la juridiccion correspondiente, para ello debera cumplir con los siguientes requisitos:</w:t>
      </w:r>
    </w:p>
    <w:p>
      <w:pPr>
        <w:numPr>
          <w:numId w:val="0"/>
        </w:numPr>
        <w:spacing w:before="100" w:beforeAutospacing="1" w:after="100" w:afterAutospacing="1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1- Acreditar mayoria de edad y buena conducta, </w:t>
      </w:r>
    </w:p>
    <w:p>
      <w:pPr>
        <w:numPr>
          <w:numId w:val="0"/>
        </w:numPr>
        <w:spacing w:before="100" w:beforeAutospacing="1" w:after="100" w:afterAutospacing="1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2-Poseer el titulo previsto en el inciso b) del art.32.  </w:t>
      </w:r>
    </w:p>
    <w:p>
      <w:pPr>
        <w:numPr>
          <w:numId w:val="0"/>
        </w:numPr>
        <w:spacing w:before="100" w:beforeAutospacing="1" w:after="100" w:afterAutospacing="1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3- Acreditar hallarse domiciliadopor mas de un anoen el lugar donde pretende ejercer como corredor.</w:t>
      </w:r>
    </w:p>
    <w:p>
      <w:pPr>
        <w:numPr>
          <w:numId w:val="0"/>
        </w:numPr>
        <w:spacing w:before="100" w:beforeAutospacing="1" w:after="100" w:afterAutospacing="1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4- Constituir la garantia prevista en el art.3 inciso d) en los alcances  que determina el art.6o.</w:t>
      </w:r>
    </w:p>
    <w:p>
      <w:pPr>
        <w:numPr>
          <w:numId w:val="0"/>
        </w:numPr>
        <w:spacing w:before="100" w:beforeAutospacing="1" w:after="100" w:afterAutospacing="1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5- Cumplir los demas requisitos que exija la reglamentacion local.</w:t>
      </w:r>
    </w:p>
    <w:p>
      <w:pPr>
        <w:numPr>
          <w:numId w:val="0"/>
        </w:numPr>
        <w:spacing w:before="100" w:beforeAutospacing="1" w:after="100" w:afterAutospacing="1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n-US"/>
        </w:rPr>
        <w:t xml:space="preserve">2)  Un corredor NO PUEDE adquirir para si un bien objeto del contrato </w:t>
      </w:r>
      <w:r>
        <w:rPr>
          <w:rFonts w:hint="default"/>
          <w:sz w:val="22"/>
          <w:szCs w:val="22"/>
          <w:lang w:val="es-AR"/>
        </w:rPr>
        <w:t>. segun  el art.1348 del CCYC está prohibido al corredor  adquirir por si o por interpósita persona efectos cuya negociación le ha sido encomendada.</w:t>
      </w:r>
    </w:p>
    <w:p>
      <w:pPr>
        <w:numPr>
          <w:numId w:val="0"/>
        </w:numPr>
        <w:spacing w:before="100" w:beforeAutospacing="1" w:after="100" w:afterAutospacing="1"/>
        <w:jc w:val="both"/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n-US"/>
        </w:rPr>
        <w:t xml:space="preserve">3) </w:t>
      </w:r>
      <w:r>
        <w:rPr>
          <w:rFonts w:hint="default"/>
          <w:sz w:val="22"/>
          <w:szCs w:val="22"/>
          <w:lang w:val="es-AR"/>
        </w:rPr>
        <w:t xml:space="preserve"> Solo puede ceder el deber de confidenciabilidadad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s-AR"/>
        </w:rPr>
        <w:t>a</w:t>
      </w:r>
      <w:r>
        <w:rPr>
          <w:rFonts w:hint="default"/>
          <w:sz w:val="22"/>
          <w:szCs w:val="22"/>
          <w:lang w:val="en-US"/>
        </w:rPr>
        <w:t>nte un requerimiento judicial o de una autoridad p</w:t>
      </w:r>
      <w:r>
        <w:rPr>
          <w:rFonts w:hint="default"/>
          <w:sz w:val="22"/>
          <w:szCs w:val="22"/>
          <w:lang w:val="es-AR"/>
        </w:rPr>
        <w:t>ública competente.</w:t>
      </w:r>
    </w:p>
    <w:p>
      <w:pPr>
        <w:numPr>
          <w:numId w:val="0"/>
        </w:numPr>
        <w:spacing w:before="100" w:beforeAutospacing="1" w:after="100" w:afterAutospacing="1"/>
        <w:jc w:val="both"/>
        <w:rPr>
          <w:rFonts w:ascii="Book Antiqua" w:hAnsi="Book Antiqua"/>
          <w:b/>
          <w:sz w:val="22"/>
          <w:szCs w:val="22"/>
        </w:rPr>
      </w:pPr>
      <w:r>
        <w:rPr>
          <w:rFonts w:hint="default"/>
          <w:sz w:val="22"/>
          <w:szCs w:val="22"/>
          <w:lang w:val="es-AR"/>
        </w:rPr>
        <w:t>4</w:t>
      </w:r>
      <w:r>
        <w:rPr>
          <w:rFonts w:hint="default"/>
          <w:sz w:val="22"/>
          <w:szCs w:val="22"/>
          <w:lang w:val="en-US"/>
        </w:rPr>
        <w:t>)</w:t>
      </w:r>
      <w:r>
        <w:rPr>
          <w:rFonts w:hint="default"/>
          <w:sz w:val="22"/>
          <w:szCs w:val="22"/>
          <w:lang w:val="es-AR"/>
        </w:rPr>
        <w:t xml:space="preserve"> El martillero público puede desempeñarce como auxiliar de justicia en los procesos en donde el juez requiera saber el valor de una propiedad o decide el remate de un bien mueble o inmueble de un deudor moroso Ej. Remate judicial.</w:t>
      </w:r>
      <w:bookmarkStart w:id="1" w:name="_GoBack"/>
      <w:bookmarkEnd w:id="1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190" w:right="1134" w:bottom="1701" w:left="1701" w:header="1134" w:footer="113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angal">
    <w:altName w:val="bz-modeler-fo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Frutiger Bl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bz-modeler-font">
    <w:panose1 w:val="02000503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lear" w:pos="4419"/>
        <w:tab w:val="clear" w:pos="8838"/>
      </w:tabs>
      <w:jc w:val="center"/>
    </w:pPr>
    <w:r>
      <w:rPr>
        <w:rFonts w:ascii="Arial" w:hAnsi="Arial" w:cs="Arial"/>
        <w:b/>
        <w:i/>
        <w:lang w:eastAsia="es-ES"/>
      </w:rPr>
      <w:drawing>
        <wp:inline distT="0" distB="0" distL="0" distR="0">
          <wp:extent cx="5410200" cy="371475"/>
          <wp:effectExtent l="1905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0200" cy="3714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  <w:b/>
        <w:sz w:val="4"/>
        <w:lang w:eastAsia="es-AR"/>
      </w:rPr>
    </w:pPr>
    <w:r>
      <w:rPr>
        <w:lang w:eastAsia="es-ES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76570" cy="88265"/>
          <wp:effectExtent l="19050" t="0" r="508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6570" cy="8826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1B553"/>
    <w:multiLevelType w:val="singleLevel"/>
    <w:tmpl w:val="B3F1B55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1A8CDDA"/>
    <w:multiLevelType w:val="singleLevel"/>
    <w:tmpl w:val="D1A8CDDA"/>
    <w:lvl w:ilvl="0" w:tentative="0">
      <w:start w:val="1"/>
      <w:numFmt w:val="upperLetter"/>
      <w:suff w:val="space"/>
      <w:lvlText w:val="%1-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63"/>
    <w:rsid w:val="000005AE"/>
    <w:rsid w:val="0002312D"/>
    <w:rsid w:val="0003238E"/>
    <w:rsid w:val="000F6969"/>
    <w:rsid w:val="00152FDE"/>
    <w:rsid w:val="001F1500"/>
    <w:rsid w:val="002B1168"/>
    <w:rsid w:val="00351363"/>
    <w:rsid w:val="00361106"/>
    <w:rsid w:val="00463414"/>
    <w:rsid w:val="004677C1"/>
    <w:rsid w:val="00575AAB"/>
    <w:rsid w:val="00583563"/>
    <w:rsid w:val="005B6411"/>
    <w:rsid w:val="0066194A"/>
    <w:rsid w:val="00693041"/>
    <w:rsid w:val="006B109A"/>
    <w:rsid w:val="008625E4"/>
    <w:rsid w:val="008B317F"/>
    <w:rsid w:val="00922513"/>
    <w:rsid w:val="00972DB3"/>
    <w:rsid w:val="00973BC7"/>
    <w:rsid w:val="00981975"/>
    <w:rsid w:val="009A32DC"/>
    <w:rsid w:val="009C420C"/>
    <w:rsid w:val="009C74F5"/>
    <w:rsid w:val="009F4A1B"/>
    <w:rsid w:val="00AC4770"/>
    <w:rsid w:val="00BB56AA"/>
    <w:rsid w:val="00BB720F"/>
    <w:rsid w:val="00C03FA8"/>
    <w:rsid w:val="00C21DEE"/>
    <w:rsid w:val="00C60F47"/>
    <w:rsid w:val="00D157EC"/>
    <w:rsid w:val="00E56797"/>
    <w:rsid w:val="00E65876"/>
    <w:rsid w:val="07572FF2"/>
    <w:rsid w:val="190C15E2"/>
    <w:rsid w:val="6163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lang w:val="es-E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footer"/>
    <w:basedOn w:val="1"/>
    <w:uiPriority w:val="0"/>
    <w:pPr>
      <w:tabs>
        <w:tab w:val="center" w:pos="4419"/>
        <w:tab w:val="right" w:pos="8838"/>
      </w:tabs>
    </w:pPr>
  </w:style>
  <w:style w:type="paragraph" w:styleId="5">
    <w:name w:val="header"/>
    <w:basedOn w:val="1"/>
    <w:uiPriority w:val="0"/>
    <w:pPr>
      <w:tabs>
        <w:tab w:val="center" w:pos="4419"/>
        <w:tab w:val="right" w:pos="8838"/>
      </w:tabs>
    </w:pPr>
  </w:style>
  <w:style w:type="paragraph" w:styleId="6">
    <w:name w:val="List"/>
    <w:basedOn w:val="2"/>
    <w:uiPriority w:val="0"/>
    <w:rPr>
      <w:rFonts w:cs="Mangal"/>
    </w:rPr>
  </w:style>
  <w:style w:type="paragraph" w:styleId="7">
    <w:name w:val="Normal (Web)"/>
    <w:basedOn w:val="1"/>
    <w:uiPriority w:val="0"/>
    <w:pPr>
      <w:spacing w:after="280"/>
    </w:pPr>
    <w:rPr>
      <w:sz w:val="24"/>
      <w:szCs w:val="24"/>
      <w:lang w:eastAsia="es-AR"/>
    </w:rPr>
  </w:style>
  <w:style w:type="character" w:styleId="9">
    <w:name w:val="page number"/>
    <w:basedOn w:val="10"/>
    <w:uiPriority w:val="0"/>
  </w:style>
  <w:style w:type="character" w:customStyle="1" w:styleId="10">
    <w:name w:val="Fuente de párrafo predeter.1"/>
    <w:uiPriority w:val="0"/>
  </w:style>
  <w:style w:type="character" w:customStyle="1" w:styleId="12">
    <w:name w:val="WW8Num1z0"/>
    <w:uiPriority w:val="0"/>
  </w:style>
  <w:style w:type="character" w:customStyle="1" w:styleId="13">
    <w:name w:val="WW8Num1z1"/>
    <w:uiPriority w:val="0"/>
  </w:style>
  <w:style w:type="character" w:customStyle="1" w:styleId="14">
    <w:name w:val="WW8Num1z3"/>
    <w:uiPriority w:val="0"/>
  </w:style>
  <w:style w:type="character" w:customStyle="1" w:styleId="15">
    <w:name w:val="WW8Num2z0"/>
    <w:uiPriority w:val="0"/>
  </w:style>
  <w:style w:type="character" w:customStyle="1" w:styleId="16">
    <w:name w:val="WW8Num2z1"/>
    <w:uiPriority w:val="0"/>
  </w:style>
  <w:style w:type="character" w:customStyle="1" w:styleId="17">
    <w:name w:val="WW8Num2z2"/>
    <w:uiPriority w:val="0"/>
  </w:style>
  <w:style w:type="character" w:customStyle="1" w:styleId="18">
    <w:name w:val="WW8Num2z3"/>
    <w:uiPriority w:val="0"/>
  </w:style>
  <w:style w:type="character" w:customStyle="1" w:styleId="19">
    <w:name w:val="WW8Num2z4"/>
    <w:uiPriority w:val="0"/>
  </w:style>
  <w:style w:type="character" w:customStyle="1" w:styleId="20">
    <w:name w:val="WW8Num2z5"/>
    <w:uiPriority w:val="0"/>
  </w:style>
  <w:style w:type="character" w:customStyle="1" w:styleId="21">
    <w:name w:val="WW8Num2z6"/>
    <w:uiPriority w:val="0"/>
  </w:style>
  <w:style w:type="character" w:customStyle="1" w:styleId="22">
    <w:name w:val="WW8Num2z7"/>
    <w:uiPriority w:val="0"/>
  </w:style>
  <w:style w:type="character" w:customStyle="1" w:styleId="23">
    <w:name w:val="WW8Num2z8"/>
    <w:uiPriority w:val="0"/>
  </w:style>
  <w:style w:type="character" w:customStyle="1" w:styleId="24">
    <w:name w:val="WW8Num1z2"/>
    <w:uiPriority w:val="0"/>
  </w:style>
  <w:style w:type="character" w:customStyle="1" w:styleId="25">
    <w:name w:val="WW8Num1z4"/>
    <w:uiPriority w:val="0"/>
  </w:style>
  <w:style w:type="character" w:customStyle="1" w:styleId="26">
    <w:name w:val="WW8Num1z5"/>
    <w:uiPriority w:val="0"/>
  </w:style>
  <w:style w:type="character" w:customStyle="1" w:styleId="27">
    <w:name w:val="WW8Num1z6"/>
    <w:uiPriority w:val="0"/>
  </w:style>
  <w:style w:type="character" w:customStyle="1" w:styleId="28">
    <w:name w:val="WW8Num1z7"/>
    <w:uiPriority w:val="0"/>
  </w:style>
  <w:style w:type="character" w:customStyle="1" w:styleId="29">
    <w:name w:val="WW8Num1z8"/>
    <w:uiPriority w:val="0"/>
  </w:style>
  <w:style w:type="character" w:customStyle="1" w:styleId="30">
    <w:name w:val="ListLabel 2"/>
    <w:qFormat/>
    <w:uiPriority w:val="0"/>
    <w:rPr>
      <w:rFonts w:cs="Wingdings"/>
    </w:rPr>
  </w:style>
  <w:style w:type="character" w:customStyle="1" w:styleId="31">
    <w:name w:val="ListLabel 3"/>
    <w:uiPriority w:val="0"/>
    <w:rPr>
      <w:rFonts w:cs="Courier New"/>
    </w:rPr>
  </w:style>
  <w:style w:type="character" w:customStyle="1" w:styleId="32">
    <w:name w:val="ListLabel 4"/>
    <w:uiPriority w:val="0"/>
    <w:rPr>
      <w:rFonts w:cs="Symbol"/>
    </w:rPr>
  </w:style>
  <w:style w:type="paragraph" w:customStyle="1" w:styleId="33">
    <w:name w:val="Encabezado1"/>
    <w:basedOn w:val="1"/>
    <w:next w:val="2"/>
    <w:uiPriority w:val="0"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customStyle="1" w:styleId="34">
    <w:name w:val="Índice"/>
    <w:basedOn w:val="1"/>
    <w:uiPriority w:val="0"/>
    <w:pPr>
      <w:suppressLineNumbers/>
    </w:pPr>
    <w:rPr>
      <w:rFonts w:cs="Mangal"/>
    </w:rPr>
  </w:style>
  <w:style w:type="paragraph" w:customStyle="1" w:styleId="35">
    <w:name w:val="Sumario"/>
    <w:basedOn w:val="1"/>
    <w:uiPriority w:val="0"/>
    <w:pPr>
      <w:tabs>
        <w:tab w:val="right" w:pos="7880"/>
      </w:tabs>
    </w:pPr>
    <w:rPr>
      <w:rFonts w:ascii="Frutiger Black" w:hAnsi="Frutiger Black" w:cs="Frutiger Black"/>
      <w:sz w:val="22"/>
    </w:rPr>
  </w:style>
  <w:style w:type="paragraph" w:customStyle="1" w:styleId="36">
    <w:name w:val="Contenido de la tabla"/>
    <w:basedOn w:val="1"/>
    <w:uiPriority w:val="0"/>
    <w:pPr>
      <w:suppressLineNumbers/>
    </w:pPr>
  </w:style>
  <w:style w:type="paragraph" w:customStyle="1" w:styleId="37">
    <w:name w:val="Encabezado de la tabla"/>
    <w:basedOn w:val="36"/>
    <w:uiPriority w:val="0"/>
    <w:pPr>
      <w:jc w:val="center"/>
    </w:pPr>
    <w:rPr>
      <w:b/>
      <w:bCs/>
    </w:rPr>
  </w:style>
  <w:style w:type="paragraph" w:customStyle="1" w:styleId="38">
    <w:name w:val="Párrafo de lista1"/>
    <w:basedOn w:val="1"/>
    <w:uiPriority w:val="0"/>
    <w:pPr>
      <w:ind w:left="708"/>
    </w:pPr>
  </w:style>
  <w:style w:type="paragraph" w:styleId="39">
    <w:name w:val="List Paragraph"/>
    <w:basedOn w:val="1"/>
    <w:qFormat/>
    <w:uiPriority w:val="34"/>
    <w:pPr>
      <w:ind w:left="70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283</Words>
  <Characters>1560</Characters>
  <Lines>13</Lines>
  <Paragraphs>3</Paragraphs>
  <TotalTime>143</TotalTime>
  <ScaleCrop>false</ScaleCrop>
  <LinksUpToDate>false</LinksUpToDate>
  <CharactersWithSpaces>1840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2018-06-18T22:19:00Z</dcterms:created>
  <dc:creator>Maquina 16</dc:creator>
  <cp:lastModifiedBy>javier</cp:lastModifiedBy>
  <cp:lastPrinted>1899-12-31T03:00:00Z</cp:lastPrinted>
  <dcterms:modified xsi:type="dcterms:W3CDTF">2019-11-16T22:54:51Z</dcterms:modified>
  <dc:title>MARTILLERO, CORREDOR PÚBLICO Y TASADOR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