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PubChat Relevance-Threshold Sensitivity Analysis Protocol</w:t>
      </w:r>
    </w:p>
    <w:p>
      <w:r>
        <w:rPr>
          <w:rFonts w:ascii="Arial" w:hAnsi="Arial" w:eastAsia="Arial"/>
          <w:color w:val="000000"/>
        </w:rPr>
        <w:t>Predefined Broad, Standard, and Core operating-mode comparison</w:t>
      </w:r>
    </w:p>
    <w:p>
      <w:r>
        <w:rPr>
          <w:rFonts w:ascii="Arial" w:hAnsi="Arial" w:eastAsia="Arial"/>
          <w:b/>
          <w:color w:val="000000"/>
        </w:rPr>
        <w:t xml:space="preserve">Version: </w:t>
      </w:r>
      <w:r>
        <w:rPr>
          <w:rFonts w:ascii="Arial" w:hAnsi="Arial" w:eastAsia="Arial"/>
          <w:color w:val="000000"/>
        </w:rPr>
        <w:t>1.0</w:t>
      </w:r>
    </w:p>
    <w:p>
      <w:r>
        <w:rPr>
          <w:rFonts w:ascii="Arial" w:hAnsi="Arial" w:eastAsia="Arial"/>
          <w:b/>
          <w:color w:val="000000"/>
        </w:rPr>
        <w:t xml:space="preserve">Protocol version date: </w:t>
      </w:r>
      <w:r>
        <w:rPr>
          <w:rFonts w:ascii="Arial" w:hAnsi="Arial" w:eastAsia="Arial"/>
          <w:color w:val="000000"/>
        </w:rPr>
        <w:t>May 28, 2026</w:t>
      </w:r>
    </w:p>
    <w:p>
      <w:pPr>
        <w:pStyle w:val="Heading2"/>
      </w:pPr>
      <w:r>
        <w:t>Part 1: Purpose and Scope</w:t>
      </w:r>
    </w:p>
    <w:p>
      <w:r>
        <w:t>This protocol documents the threshold-sensitivity analysis of PubChat retrieval outputs. The analysis tests how retrieval volume, gold-standard article recall, precision, F2-score, and ranking quality change when the predefined PubChat relevance-score threshold is relaxed or tightened.</w:t>
      </w:r>
    </w:p>
    <w:p>
      <w:pPr>
        <w:pStyle w:val="ListBullet"/>
      </w:pPr>
      <w:r>
        <w:rPr>
          <w:rFonts w:ascii="Arial" w:hAnsi="Arial" w:eastAsia="Arial"/>
          <w:b/>
          <w:color w:val="000000"/>
        </w:rPr>
        <w:t xml:space="preserve">Benchmark set: </w:t>
      </w:r>
      <w:r>
        <w:rPr>
          <w:rFonts w:ascii="Arial" w:hAnsi="Arial" w:eastAsia="Arial"/>
          <w:color w:val="000000"/>
        </w:rPr>
        <w:t>20 CDSR benchmark reviews represented in Supplementary Material 1 and Supplementary Material 2.1.</w:t>
      </w:r>
    </w:p>
    <w:p>
      <w:pPr>
        <w:pStyle w:val="ListBullet"/>
      </w:pPr>
      <w:r>
        <w:rPr>
          <w:rFonts w:ascii="Arial" w:hAnsi="Arial" w:eastAsia="Arial"/>
          <w:b/>
          <w:color w:val="000000"/>
        </w:rPr>
        <w:t xml:space="preserve">Primary comparison: </w:t>
      </w:r>
      <w:r>
        <w:rPr>
          <w:rFonts w:ascii="Arial" w:hAnsi="Arial" w:eastAsia="Arial"/>
          <w:color w:val="000000"/>
        </w:rPr>
        <w:t>PubChat Broad, Standard, and Core views generated from the same relevance-score scale.</w:t>
      </w:r>
    </w:p>
    <w:p>
      <w:pPr>
        <w:pStyle w:val="ListBullet"/>
      </w:pPr>
      <w:r>
        <w:rPr>
          <w:rFonts w:ascii="Arial" w:hAnsi="Arial" w:eastAsia="Arial"/>
          <w:b/>
          <w:color w:val="000000"/>
        </w:rPr>
        <w:t xml:space="preserve">Interpretive scope: </w:t>
      </w:r>
      <w:r>
        <w:rPr>
          <w:rFonts w:ascii="Arial" w:hAnsi="Arial" w:eastAsia="Arial"/>
          <w:color w:val="000000"/>
        </w:rPr>
        <w:t>This is a predefined operating-mode comparison, not post hoc threshold tuning.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37474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Threshold view</w:t>
            </w:r>
          </w:p>
        </w:tc>
        <w:tc>
          <w:tcPr>
            <w:tcW w:type="dxa" w:w="3024"/>
            <w:shd w:fill="37474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4608"/>
            <w:shd w:fill="37474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Handling in analysis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Broad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Retains records scored 1, 2, or 3.</w:t>
            </w:r>
          </w:p>
        </w:tc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Used as the recall-oriented view; expected to retrieve more records and preserve sensitivity.</w:t>
            </w:r>
          </w:p>
        </w:tc>
      </w:tr>
      <w:tr>
        <w:tc>
          <w:tcPr>
            <w:tcW w:type="dxa" w:w="1728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Standard</w:t>
            </w:r>
          </w:p>
        </w:tc>
        <w:tc>
          <w:tcPr>
            <w:tcW w:type="dxa" w:w="3024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Retains records scored 2 or 3.</w:t>
            </w:r>
          </w:p>
        </w:tc>
        <w:tc>
          <w:tcPr>
            <w:tcW w:type="dxa" w:w="4608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Used as the intermediate operating view balancing retrieval volume and precision.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Core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Retains records scored 3 only.</w:t>
            </w:r>
          </w:p>
        </w:tc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Used as the precision-oriented view; expected to retrieve fewer records with higher precision.</w:t>
            </w:r>
          </w:p>
        </w:tc>
      </w:tr>
    </w:tbl>
    <w:p/>
    <w:p>
      <w:pPr>
        <w:pStyle w:val="Heading2"/>
      </w:pPr>
      <w:r>
        <w:t>Part 2: Input Data</w:t>
      </w:r>
    </w:p>
    <w:p>
      <w:r>
        <w:t>The analysis used the raw benchmark table from Supplementary Material 2.1. For each CDSR case, gold-standard PMIDs were matched against the ranked PubChat Broad, Standard, and Core PMID lists.</w:t>
      </w:r>
    </w:p>
    <w:p>
      <w:pPr>
        <w:pStyle w:val="ListBullet"/>
      </w:pPr>
      <w:r>
        <w:rPr>
          <w:rFonts w:ascii="Arial" w:hAnsi="Arial" w:eastAsia="Arial"/>
          <w:b/>
          <w:color w:val="000000"/>
        </w:rPr>
        <w:t xml:space="preserve">Gold-standard PMIDs: </w:t>
      </w:r>
      <w:r>
        <w:rPr>
          <w:rFonts w:ascii="Arial" w:hAnsi="Arial" w:eastAsia="Arial"/>
          <w:color w:val="000000"/>
        </w:rPr>
        <w:t>CDSR included-study PMIDs listed in Supplementary Material 2.1, Table S1.</w:t>
      </w:r>
    </w:p>
    <w:p>
      <w:pPr>
        <w:pStyle w:val="ListBullet"/>
      </w:pPr>
      <w:r>
        <w:rPr>
          <w:rFonts w:ascii="Arial" w:hAnsi="Arial" w:eastAsia="Arial"/>
          <w:b/>
          <w:color w:val="000000"/>
        </w:rPr>
        <w:t xml:space="preserve">PubChat PMIDs: </w:t>
      </w:r>
      <w:r>
        <w:rPr>
          <w:rFonts w:ascii="Arial" w:hAnsi="Arial" w:eastAsia="Arial"/>
          <w:color w:val="000000"/>
        </w:rPr>
        <w:t>Mode-specific ranked PMID lists from the PC_broad_PMID, PC_standard_PMID, and PC_core_PMID columns.</w:t>
      </w:r>
    </w:p>
    <w:p>
      <w:pPr>
        <w:pStyle w:val="ListBullet"/>
      </w:pPr>
      <w:r>
        <w:rPr>
          <w:rFonts w:ascii="Arial" w:hAnsi="Arial" w:eastAsia="Arial"/>
          <w:b/>
          <w:color w:val="000000"/>
        </w:rPr>
        <w:t xml:space="preserve">Case metadata: </w:t>
      </w:r>
      <w:r>
        <w:rPr>
          <w:rFonts w:ascii="Arial" w:hAnsi="Arial" w:eastAsia="Arial"/>
          <w:color w:val="000000"/>
        </w:rPr>
        <w:t>CDSR review PMID, title, DOI, prompt, and search deadline from Supplementary Material 1.1.</w:t>
      </w:r>
    </w:p>
    <w:p>
      <w:pPr>
        <w:pStyle w:val="ListBullet"/>
      </w:pPr>
      <w:r>
        <w:rPr>
          <w:rFonts w:ascii="Arial" w:hAnsi="Arial" w:eastAsia="Arial"/>
          <w:b/>
          <w:color w:val="000000"/>
        </w:rPr>
        <w:t xml:space="preserve">Deduplication: </w:t>
      </w:r>
      <w:r>
        <w:rPr>
          <w:rFonts w:ascii="Arial" w:hAnsi="Arial" w:eastAsia="Arial"/>
          <w:color w:val="000000"/>
        </w:rPr>
        <w:t>Duplicate PMIDs within a mode-specific ranked list were collapsed while preserving the first observed rank.</w:t>
      </w:r>
    </w:p>
    <w:p>
      <w:pPr>
        <w:pStyle w:val="Heading2"/>
      </w:pPr>
      <w:r>
        <w:t>Part 3: Metric Calculation</w:t>
      </w:r>
    </w:p>
    <w:p>
      <w:pPr>
        <w:pStyle w:val="ListNumber"/>
      </w:pPr>
      <w:r>
        <w:rPr>
          <w:rFonts w:ascii="Arial" w:hAnsi="Arial" w:eastAsia="Arial"/>
          <w:color w:val="000000"/>
        </w:rPr>
        <w:t>For each CDSR case and PubChat mode, count unique retrieved PMIDs.</w:t>
      </w:r>
    </w:p>
    <w:p>
      <w:pPr>
        <w:pStyle w:val="ListNumber"/>
      </w:pPr>
      <w:r>
        <w:rPr>
          <w:rFonts w:ascii="Arial" w:hAnsi="Arial" w:eastAsia="Arial"/>
          <w:color w:val="000000"/>
        </w:rPr>
        <w:t>Match retrieved PMIDs to the CDSR gold-standard PMID set to identify matched gold-standard records and non-matched retrieved records.</w:t>
      </w:r>
    </w:p>
    <w:p>
      <w:pPr>
        <w:pStyle w:val="ListNumber"/>
      </w:pPr>
      <w:r>
        <w:rPr>
          <w:rFonts w:ascii="Arial" w:hAnsi="Arial" w:eastAsia="Arial"/>
          <w:color w:val="000000"/>
        </w:rPr>
        <w:t>Calculate precision, recall, F2-score, and binary-gain nDCG for each case and mode.</w:t>
      </w:r>
    </w:p>
    <w:p>
      <w:pPr>
        <w:pStyle w:val="ListNumber"/>
      </w:pPr>
      <w:r>
        <w:rPr>
          <w:rFonts w:ascii="Arial" w:hAnsi="Arial" w:eastAsia="Arial"/>
          <w:color w:val="000000"/>
        </w:rPr>
        <w:t>Summarize each metric across the 20 CDSR cases using mean and standard deviation.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37474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7488"/>
            <w:shd w:fill="37474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Precision</w:t>
            </w:r>
          </w:p>
        </w:tc>
        <w:tc>
          <w:tcPr>
            <w:tcW w:type="dxa" w:w="74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Matched gold-standard retrieved PMIDs divided by retrieved records.</w:t>
            </w:r>
          </w:p>
        </w:tc>
      </w:tr>
      <w:tr>
        <w:tc>
          <w:tcPr>
            <w:tcW w:type="dxa" w:w="1872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Recall</w:t>
            </w:r>
          </w:p>
        </w:tc>
        <w:tc>
          <w:tcPr>
            <w:tcW w:type="dxa" w:w="7488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Matched gold-standard retrieved PMIDs divided by gold-standard PMIDs.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F2-score</w:t>
            </w:r>
          </w:p>
        </w:tc>
        <w:tc>
          <w:tcPr>
            <w:tcW w:type="dxa" w:w="74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(1 + 2^2) × precision × recall / ((2^2 × precision) + recall).</w:t>
            </w:r>
          </w:p>
        </w:tc>
      </w:tr>
      <w:tr>
        <w:tc>
          <w:tcPr>
            <w:tcW w:type="dxa" w:w="1872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nDCG</w:t>
            </w:r>
          </w:p>
        </w:tc>
        <w:tc>
          <w:tcPr>
            <w:tcW w:type="dxa" w:w="7488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20"/>
              </w:rPr>
              <w:t>Binary-gain normalized discounted cumulative gain over the ranked PMID list; gold-standard PMIDs receive gain 1 and all other retrieved PMIDs receive gain 0.</w:t>
            </w:r>
          </w:p>
        </w:tc>
      </w:tr>
    </w:tbl>
    <w:p/>
    <w:p>
      <w:pPr>
        <w:pStyle w:val="Heading2"/>
      </w:pPr>
      <w:r>
        <w:t>Part 4: Outputs and Interpretation</w:t>
      </w:r>
    </w:p>
    <w:p>
      <w:r>
        <w:t>The formal results workbook contains the threshold-level summary, case-level metrics, and metric definitions needed to document the sensitivity analysis. Result values are reported in the accompanying tables rather than in this protocol document.</w:t>
      </w:r>
    </w:p>
    <w:p>
      <w:r>
        <w:t>Interpretation is based on whether changes from Broad to Standard to Core show a consistent trade-off between retrieval volume, recall, precision, F2-score, and ranking quality.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