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>
      <w:pPr>
        <w:pStyle w:val="3"/>
        <w:spacing w:before="0" w:after="240" w:line="276" w:lineRule="auto"/>
      </w:pPr>
      <w:r>
        <w:rPr>
          <w:rFonts w:ascii="Arial" w:hAnsi="Arial"/>
          <w:b/>
          <w:color w:val="000000"/>
          <w:sz w:val="32"/>
        </w:rPr>
        <w:t>PubChat Source-Profile Bias Analysis Protocol</w:t>
      </w:r>
    </w:p>
    <w:p>
      <w:pPr>
        <w:spacing w:before="0" w:after="200" w:line="276" w:lineRule="auto"/>
      </w:pPr>
      <w:r>
        <w:rPr>
          <w:rFonts w:ascii="Arial" w:hAnsi="Arial"/>
          <w:color w:val="000000"/>
          <w:sz w:val="20"/>
        </w:rPr>
        <w:t>Comparison of PubChat-retained PMIDs with CDSR PubMed candidate pools</w:t>
      </w:r>
    </w:p>
    <w:p>
      <w:pPr>
        <w:spacing w:before="0" w:after="120" w:line="276" w:lineRule="auto"/>
      </w:pPr>
      <w:r>
        <w:rPr>
          <w:rFonts w:ascii="Arial" w:hAnsi="Arial"/>
          <w:b/>
        </w:rPr>
        <w:t xml:space="preserve">Version: </w:t>
      </w:r>
      <w:r>
        <w:rPr>
          <w:rFonts w:ascii="Arial" w:hAnsi="Arial"/>
        </w:rPr>
        <w:t>1.0</w:t>
      </w:r>
    </w:p>
    <w:p>
      <w:pPr>
        <w:spacing w:before="0" w:after="120" w:line="276" w:lineRule="auto"/>
      </w:pPr>
      <w:r>
        <w:rPr>
          <w:rFonts w:ascii="Arial" w:hAnsi="Arial"/>
          <w:b/>
        </w:rPr>
        <w:t xml:space="preserve">Protocol version date: </w:t>
      </w:r>
      <w:r>
        <w:rPr>
          <w:rFonts w:ascii="Arial" w:hAnsi="Arial"/>
        </w:rPr>
        <w:t>May 28, 2026</w:t>
      </w:r>
    </w:p>
    <w:p>
      <w:pPr>
        <w:pStyle w:val="4"/>
      </w:pPr>
      <w:r>
        <w:t>Part 1: Purpose and Scope</w:t>
      </w:r>
    </w:p>
    <w:p>
      <w:r>
        <w:t>This protocol documents the source-profile bias analysis of PubChat retrieval outputs. The analysis tests whether PubChat-retained PMIDs meaningfully amplify PubMed-inherent source-profile patterns when compared with the PubMed/MEDLINE candidate pools implied by the original CDSR search strategies.</w:t>
      </w:r>
    </w:p>
    <w:p>
      <w:pPr>
        <w:pStyle w:val="16"/>
      </w:pPr>
      <w:r>
        <w:rPr>
          <w:rFonts w:ascii="Arial" w:hAnsi="Arial"/>
          <w:b/>
        </w:rPr>
        <w:t xml:space="preserve">Benchmark set: </w:t>
      </w:r>
      <w:r>
        <w:rPr>
          <w:rFonts w:ascii="Arial" w:hAnsi="Arial"/>
        </w:rPr>
        <w:t>The starting corpus is the 20 CDSR reviews represented in Supplementary Material 1. A paired source-profile comparison is performed for the 18 CDSRs with an analyzable standalone PubMed/MEDLINE main search strategy (excluding CDSR PMID 40066950 and CDSR PMID 40728007).</w:t>
      </w:r>
    </w:p>
    <w:p>
      <w:pPr>
        <w:pStyle w:val="16"/>
      </w:pPr>
      <w:r>
        <w:rPr>
          <w:rFonts w:ascii="Arial" w:hAnsi="Arial"/>
          <w:b/>
        </w:rPr>
        <w:t xml:space="preserve">Non-paired CDSRs: </w:t>
      </w:r>
      <w:r>
        <w:rPr>
          <w:rFonts w:ascii="Arial" w:hAnsi="Arial"/>
        </w:rPr>
        <w:t>CDSR PMID 40066950 and CDSR PMID 40728007 are not included in the candidate-pool balance comparison because their main study-identification source is the Cochrane Incontinence Specialised Register rather than a standalone PubMed/MEDLINE main-search appendix.</w:t>
      </w:r>
    </w:p>
    <w:p>
      <w:pPr>
        <w:pStyle w:val="16"/>
      </w:pPr>
      <w:r>
        <w:rPr>
          <w:rFonts w:ascii="Arial" w:hAnsi="Arial"/>
          <w:b/>
        </w:rPr>
        <w:t xml:space="preserve">Primary comparison: </w:t>
      </w:r>
      <w:r>
        <w:rPr>
          <w:rFonts w:ascii="Arial" w:hAnsi="Arial"/>
        </w:rPr>
        <w:t>CDSR candidate PMIDs versus PubChat broad retained PMIDs, with each article represented at the PMID level.</w:t>
      </w:r>
    </w:p>
    <w:tbl>
      <w:tblGrid>
        <w:gridCol w:w="2200"/>
        <w:gridCol w:w="4100"/>
        <w:gridCol w:w="3060"/>
      </w:tblGrid>
      <w:tblPr>
        <w:tblStyle w:val="33"/>
        <w:tblW w:type="dxa" w:w="9360"/>
        <w:jc w:val="left"/>
        <w:tblLook w:firstColumn="1" w:firstRow="1" w:lastColumn="0" w:lastRow="0" w:noHBand="0" w:noVBand="1" w:val="04A0"/>
        <w:tblInd w:w="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w="220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PMID set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Handling in analysis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CDSR PubMed candidate PMIDs</w:t>
            </w:r>
          </w:p>
        </w:tc>
        <w:tc>
          <w:tcPr>
            <w:tcW w:type="dxa" w:w="41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PMIDs returned by reconstructed PubMed-compatible queries based on each CDSR's original PubMed/MEDLINE strategy.</w:t>
            </w:r>
          </w:p>
        </w:tc>
        <w:tc>
          <w:tcPr>
            <w:tcW w:type="dxa" w:w="306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Used as the reference source-profile baseline when PubMed XML metadata are available. For very large PubMed searches, a prespecified cap of 10,000 candidate records was applied; capped searches yielded 9,999 retrievable PubMed ESearch UIDs.</w:t>
            </w:r>
          </w:p>
        </w:tc>
      </w:tr>
      <w:tr>
        <w:tc>
          <w:tcPr>
            <w:tcW w:type="dxa" w:w="22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PubChat broad retained PMIDs</w:t>
            </w:r>
          </w:p>
        </w:tc>
        <w:tc>
          <w:tcPr>
            <w:tcW w:type="dxa" w:w="41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Unique PMIDs retained by PubChat across the eight language outputs and score tiers 1, 2, and 3.</w:t>
            </w:r>
          </w:p>
        </w:tc>
        <w:tc>
          <w:tcPr>
            <w:tcW w:type="dxa" w:w="306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Extracted for all 20 CDSRs. The paired balance comparison is restricted to the 18 CDSRs with reconstructed PubMed/MEDLINE candidate pools.</w:t>
            </w:r>
          </w:p>
        </w:tc>
      </w:tr>
    </w:tbl>
    <w:p>
      <w:pPr>
        <w:spacing w:before="40" w:after="160" w:line="240" w:lineRule="auto"/>
      </w:pPr>
    </w:p>
    <w:p>
      <w:pPr>
        <w:pStyle w:val="4"/>
      </w:pPr>
      <w:r>
        <w:t>Part 2: Candidate PMID Construction</w:t>
      </w:r>
    </w:p>
    <w:p>
      <w:r>
        <w:t>Candidate PMIDs were derived from the original CDSR search strategies, not from PubChat outputs. The workflow was designed to reconstruct the PubMed-accessible candidate set that a conventional PubMed source-profile baseline would expose.</w:t>
      </w:r>
    </w:p>
    <w:p>
      <w:pPr>
        <w:pStyle w:val="14"/>
      </w:pPr>
      <w:r>
        <w:t>Obtain the published CDSR full-text search strategy for each review.</w:t>
      </w:r>
    </w:p>
    <w:p>
      <w:pPr>
        <w:pStyle w:val="14"/>
      </w:pPr>
      <w:r>
        <w:t>Extract the original PubMed/MEDLINE strategy from the CDSR Methods or Appendix sections.</w:t>
      </w:r>
    </w:p>
    <w:p>
      <w:pPr>
        <w:pStyle w:val="14"/>
      </w:pPr>
      <w:r>
        <w:t>Convert the strategy to PubMed-compatible syntax while preserving the original Boolean logic, MeSH terms, title/abstract terms, and date limits where applicable.</w:t>
      </w:r>
    </w:p>
    <w:p>
      <w:pPr>
        <w:pStyle w:val="14"/>
      </w:pPr>
      <w:r>
        <w:t>Check the converted strategy against the CDSR source text before retrieval.</w:t>
      </w:r>
    </w:p>
    <w:p>
      <w:pPr>
        <w:pStyle w:val="14"/>
      </w:pPr>
      <w:r>
        <w:t>Run the PubMed-compatible query through PubMed ESearch and retain the returned PMIDs as the CDSR PubMed candidate pool.</w:t>
      </w:r>
    </w:p>
    <w:p>
      <w:pPr>
        <w:pStyle w:val="4"/>
      </w:pPr>
      <w:r>
        <w:t>Part 3: PubChat PMID Construction</w:t>
      </w:r>
    </w:p>
    <w:p>
      <w:r>
        <w:t>PubChat PMIDs were extracted from Supplementary Material 1, which contains the eight-language retrieval output for the same 20 CDSR reviews. The broad retained PubChat set was used to assess whether PubChat retrieval may aggravate PubMed source-profile bias.</w:t>
      </w:r>
    </w:p>
    <w:p>
      <w:pPr>
        <w:pStyle w:val="16"/>
      </w:pPr>
      <w:r>
        <w:rPr>
          <w:rFonts w:ascii="Arial" w:hAnsi="Arial"/>
          <w:b/>
        </w:rPr>
        <w:t xml:space="preserve">Source fields preserved: </w:t>
      </w:r>
      <w:r>
        <w:rPr>
          <w:rFonts w:ascii="Arial" w:hAnsi="Arial"/>
        </w:rPr>
        <w:t>For each PubChat PMID, the analysis preserves the contributing language outputs, score tiers, language-score details, and source row count.</w:t>
      </w:r>
    </w:p>
    <w:p>
      <w:pPr>
        <w:pStyle w:val="16"/>
      </w:pPr>
      <w:r>
        <w:rPr>
          <w:rFonts w:ascii="Arial" w:hAnsi="Arial"/>
          <w:b/>
        </w:rPr>
        <w:t xml:space="preserve">Deduplication: </w:t>
      </w:r>
      <w:r>
        <w:rPr>
          <w:rFonts w:ascii="Arial" w:hAnsi="Arial"/>
        </w:rPr>
        <w:t>The same PMID can appear across multiple language outputs. Deduplicated PMID-level records are retained while preserving the source-language provenance.</w:t>
      </w:r>
    </w:p>
    <w:p>
      <w:pPr>
        <w:pStyle w:val="4"/>
      </w:pPr>
      <w:r>
        <w:t>Part 4: PubMed XML Metadata Retrieval and Field Extraction</w:t>
      </w:r>
    </w:p>
    <w:p>
      <w:r>
        <w:t>The union of candidate PMIDs and PubChat PMIDs was submitted to PubMed EFetch with db=pubmed and retmode=xml. The following PubMed metadata fields were extracted for source-profile characterization.</w:t>
      </w:r>
    </w:p>
    <w:tbl>
      <w:tblGrid>
        <w:gridCol w:w="1900"/>
        <w:gridCol w:w="3900"/>
        <w:gridCol w:w="3560"/>
      </w:tblGrid>
      <w:tblPr>
        <w:tblStyle w:val="33"/>
        <w:tblW w:type="dxa" w:w="9360"/>
        <w:jc w:val="left"/>
        <w:tblLook w:firstColumn="1" w:firstRow="1" w:lastColumn="0" w:lastRow="0" w:noHBand="0" w:noVBand="1" w:val="04A0"/>
        <w:tblInd w:w="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w="190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Retained field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Source or derivation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Coding used in analysis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Publication Date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PubMed XML article or book publication date fields.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Selected earliest explicit publication-related date.</w:t>
            </w:r>
          </w:p>
        </w:tc>
      </w:tr>
      <w:tr>
        <w:tc>
          <w:tcPr>
            <w:tcW w:type="dxa" w:w="19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Publication Year</w:t>
            </w:r>
          </w:p>
        </w:tc>
        <w:tc>
          <w:tcPr>
            <w:tcW w:type="dxa" w:w="39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Derived from the selected publication date/year field.</w:t>
            </w:r>
          </w:p>
        </w:tc>
        <w:tc>
          <w:tcPr>
            <w:tcW w:type="dxa" w:w="356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Numeric year.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Languages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PubMed XML Language element(s).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Original language code(s) or empty if unavailable.</w:t>
            </w:r>
          </w:p>
        </w:tc>
      </w:tr>
      <w:tr>
        <w:tc>
          <w:tcPr>
            <w:tcW w:type="dxa" w:w="19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Language Bucket</w:t>
            </w:r>
          </w:p>
        </w:tc>
        <w:tc>
          <w:tcPr>
            <w:tcW w:type="dxa" w:w="39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Derived from Languages.</w:t>
            </w:r>
          </w:p>
        </w:tc>
        <w:tc>
          <w:tcPr>
            <w:tcW w:type="dxa" w:w="356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English, Non-English, or Unknown.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Publication Type Bucket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PubMed XML PublicationTypeList.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RCT, clinical trial, systematic review/meta-analysis, review, observational/comparative, case report, journal article/other, or other/unknown.</w:t>
            </w:r>
          </w:p>
        </w:tc>
      </w:tr>
      <w:tr>
        <w:tc>
          <w:tcPr>
            <w:tcW w:type="dxa" w:w="19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Has Abstract</w:t>
            </w:r>
          </w:p>
        </w:tc>
        <w:tc>
          <w:tcPr>
            <w:tcW w:type="dxa" w:w="39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PubMed XML Abstract/AbstractText elements.</w:t>
            </w:r>
          </w:p>
        </w:tc>
        <w:tc>
          <w:tcPr>
            <w:tcW w:type="dxa" w:w="356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Yes or No.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Journal Country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PubMed XML MedlineJournalInfo/Country.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Original PubMed journal country string.</w:t>
            </w:r>
          </w:p>
        </w:tc>
      </w:tr>
      <w:tr>
        <w:tc>
          <w:tcPr>
            <w:tcW w:type="dxa" w:w="19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Journal Country Bucket</w:t>
            </w:r>
          </w:p>
        </w:tc>
        <w:tc>
          <w:tcPr>
            <w:tcW w:type="dxa" w:w="39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Derived from Journal Country.</w:t>
            </w:r>
          </w:p>
        </w:tc>
        <w:tc>
          <w:tcPr>
            <w:tcW w:type="dxa" w:w="356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Anglophone journal country, other journal country, or Unknown.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JCR Zone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Matched external JCR/IF file by normalized ISSN/EISSN.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Q1, Q2, Q3, Q4, or N/A; Unmapped is merged into N/A.</w:t>
            </w:r>
          </w:p>
        </w:tc>
      </w:tr>
      <w:tr>
        <w:tc>
          <w:tcPr>
            <w:tcW w:type="dxa" w:w="19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2024 IF</w:t>
            </w:r>
          </w:p>
        </w:tc>
        <w:tc>
          <w:tcPr>
            <w:tcW w:type="dxa" w:w="39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Matched external JCR/IF file by normalized ISSN/EISSN.</w:t>
            </w:r>
          </w:p>
        </w:tc>
        <w:tc>
          <w:tcPr>
            <w:tcW w:type="dxa" w:w="356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Numeric 2024 impact factor where available.</w:t>
            </w:r>
          </w:p>
        </w:tc>
      </w:tr>
    </w:tbl>
    <w:p>
      <w:pPr>
        <w:spacing w:before="40" w:after="160" w:line="240" w:lineRule="auto"/>
      </w:pPr>
    </w:p>
    <w:p>
      <w:r>
        <w:br w:type="page"/>
      </w:r>
    </w:p>
    <w:p>
      <w:pPr>
        <w:pStyle w:val="4"/>
      </w:pPr>
      <w:r>
        <w:t>Part 5: Supplementary Table Structure</w:t>
      </w:r>
    </w:p>
    <w:tbl>
      <w:tblGrid>
        <w:gridCol w:w="2450"/>
        <w:gridCol w:w="2600"/>
        <w:gridCol w:w="4310"/>
      </w:tblGrid>
      <w:tblPr>
        <w:tblStyle w:val="33"/>
        <w:tblW w:type="dxa" w:w="9360"/>
        <w:jc w:val="left"/>
        <w:tblLook w:firstColumn="1" w:firstRow="1" w:lastColumn="0" w:lastRow="0" w:noHBand="0" w:noVBand="1" w:val="04A0"/>
        <w:tblInd w:w="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w="245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Row unit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Candidate PMID-level dataset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One reconstructed-CDSR-search PMID per row.</w:t>
            </w:r>
          </w:p>
        </w:tc>
        <w:tc>
          <w:tcPr>
            <w:tcW w:type="dxa" w:w="431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PMID-level candidate-pool table containing retained PubMed XML/source-profile fields.</w:t>
            </w:r>
          </w:p>
        </w:tc>
      </w:tr>
      <w:tr>
        <w:tc>
          <w:tcPr>
            <w:tcW w:type="dxa" w:w="245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PubChat PMID-level dataset</w:t>
            </w:r>
          </w:p>
        </w:tc>
        <w:tc>
          <w:tcPr>
            <w:tcW w:type="dxa" w:w="26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One PubChat-retained PMID per row.</w:t>
            </w:r>
          </w:p>
        </w:tc>
        <w:tc>
          <w:tcPr>
            <w:tcW w:type="dxa" w:w="431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PMID-level PubChat table containing retained PubMed XML/source-profile fields and language/score provenance.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Source-profile balance table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One variable-level or category-level balance row.</w:t>
            </w:r>
          </w:p>
        </w:tc>
        <w:tc>
          <w:tcPr>
            <w:tcW w:type="dxa" w:w="431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Summary table comparing candidate-pool and PubChat distributions using practical effect sizes.</w:t>
            </w:r>
          </w:p>
        </w:tc>
      </w:tr>
    </w:tbl>
    <w:p>
      <w:pPr>
        <w:spacing w:before="40" w:after="160" w:line="240" w:lineRule="auto"/>
      </w:pPr>
    </w:p>
    <w:p>
      <w:pPr>
        <w:pStyle w:val="4"/>
      </w:pPr>
      <w:r>
        <w:t>Part 6: Source-Profile Balance Analysis</w:t>
      </w:r>
    </w:p>
    <w:p>
      <w:r>
        <w:t>The balance table summarizes source-profile distributions in the candidate-pool and PubChat PMID sets. Continuous variables are reported as mean +/- SD, and categorical variables are reported as n (%). Standardized effect sizes are used to quantify between-set imbalance.</w:t>
      </w:r>
    </w:p>
    <w:tbl>
      <w:tblGrid>
        <w:gridCol w:w="1800"/>
        <w:gridCol w:w="2650"/>
        <w:gridCol w:w="2450"/>
        <w:gridCol w:w="2460"/>
      </w:tblGrid>
      <w:tblPr>
        <w:tblStyle w:val="33"/>
        <w:tblW w:type="dxa" w:w="9360"/>
        <w:jc w:val="left"/>
        <w:tblLook w:firstColumn="1" w:firstRow="1" w:lastColumn="0" w:lastRow="0" w:noHBand="0" w:noVBand="1" w:val="04A0"/>
        <w:tblInd w:w="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w="180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65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Display in balance table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Effect-size metric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fill="37474F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Interpretation rule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Publication Year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Mean +/- SD.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Standardized mean difference (SMD).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SMD &lt; 0.10 is interpreted as negligible imbalance.</w:t>
            </w:r>
          </w:p>
        </w:tc>
      </w:tr>
      <w:tr>
        <w:tc>
          <w:tcPr>
            <w:tcW w:type="dxa" w:w="18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Language Bucket</w:t>
            </w:r>
          </w:p>
        </w:tc>
        <w:tc>
          <w:tcPr>
            <w:tcW w:type="dxa" w:w="265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 (%) by English versus Non-English.</w:t>
            </w:r>
          </w:p>
        </w:tc>
        <w:tc>
          <w:tcPr>
            <w:tcW w:type="dxa" w:w="245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Cramer's V and maximum absolute percentage-point difference.</w:t>
            </w:r>
          </w:p>
        </w:tc>
        <w:tc>
          <w:tcPr>
            <w:tcW w:type="dxa" w:w="246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Cramer's V &lt; 0.10 is interpreted as negligible imbalance.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Has Abstract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 (%) by Yes versus No.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Cramer's V and maximum absolute percentage-point difference.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Cramer's V &lt; 0.10 is interpreted as negligible imbalance.</w:t>
            </w:r>
          </w:p>
        </w:tc>
      </w:tr>
      <w:tr>
        <w:tc>
          <w:tcPr>
            <w:tcW w:type="dxa" w:w="18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Publication Type Bucket</w:t>
            </w:r>
          </w:p>
        </w:tc>
        <w:tc>
          <w:tcPr>
            <w:tcW w:type="dxa" w:w="265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 (%) by prespecified publication-type bucket.</w:t>
            </w:r>
          </w:p>
        </w:tc>
        <w:tc>
          <w:tcPr>
            <w:tcW w:type="dxa" w:w="245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Cramer's V and maximum absolute percentage-point difference.</w:t>
            </w:r>
          </w:p>
        </w:tc>
        <w:tc>
          <w:tcPr>
            <w:tcW w:type="dxa" w:w="246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Cramer's V &lt; 0.10 is interpreted as negligible imbalance.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Journal Country Bucket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 (%) by anglophone, other, and unknown journal country.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Cramer's V and maximum absolute percentage-point difference.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Cramer's V &lt; 0.10 is interpreted as negligible imbalance.</w:t>
            </w:r>
          </w:p>
        </w:tc>
      </w:tr>
      <w:tr>
        <w:tc>
          <w:tcPr>
            <w:tcW w:type="dxa" w:w="180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JCR Zone</w:t>
            </w:r>
          </w:p>
        </w:tc>
        <w:tc>
          <w:tcPr>
            <w:tcW w:type="dxa" w:w="265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n (%) by Q1, Q2, Q3, Q4, and N/A.</w:t>
            </w:r>
          </w:p>
        </w:tc>
        <w:tc>
          <w:tcPr>
            <w:tcW w:type="dxa" w:w="245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Cramer's V and maximum absolute percentage-point difference.</w:t>
            </w:r>
          </w:p>
        </w:tc>
        <w:tc>
          <w:tcPr>
            <w:tcW w:type="dxa" w:w="2460"/>
            <w:shd w:fill="F5F5F5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Cramer's V &lt; 0.10 is interpreted as negligible imbalance.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2024 IF</w:t>
            </w:r>
          </w:p>
        </w:tc>
        <w:tc>
          <w:tcPr>
            <w:tcW w:type="dxa" w:w="265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Mean +/- SD among JCR/IF-mapped records.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SMD.</w:t>
            </w:r>
          </w:p>
        </w:tc>
        <w:tc>
          <w:tcPr>
            <w:tcW w:type="dxa" w:w="2460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SMD &lt; 0.10 is interpreted as negligible imbalance.</w:t>
            </w:r>
          </w:p>
        </w:tc>
      </w:tr>
    </w:tbl>
    <w:p>
      <w:pPr>
        <w:spacing w:before="40" w:after="160" w:line="240" w:lineRule="auto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9DCC5D"/>
    <w:rsid w:val="3E3E7689"/>
    <w:rsid w:val="5F4D763E"/>
    <w:rsid w:val="5FBEE665"/>
    <w:rsid w:val="73FFB51C"/>
    <w:rsid w:val="7AEE8C13"/>
    <w:rsid w:val="7EFBB019"/>
    <w:rsid w:val="7F6FE65D"/>
    <w:rsid w:val="7FBE2C5F"/>
    <w:rsid w:val="7FF74769"/>
    <w:rsid w:val="7FF7A2A1"/>
    <w:rsid w:val="967EAF67"/>
    <w:rsid w:val="9BBE02A1"/>
    <w:rsid w:val="BDFB680B"/>
    <w:rsid w:val="BFEC64B1"/>
    <w:rsid w:val="DBD960CF"/>
    <w:rsid w:val="E37A2202"/>
    <w:rsid w:val="EE47EF15"/>
    <w:rsid w:val="EEDFC0B8"/>
    <w:rsid w:val="F17B69C7"/>
    <w:rsid w:val="FBFED3CB"/>
    <w:rsid w:val="FFFF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 w:before="0"/>
    </w:pPr>
    <w:rPr>
      <w:rFonts w:ascii="Arial" w:hAnsi="Arial" w:eastAsiaTheme="minorEastAsia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240" w:line="276" w:lineRule="auto"/>
      <w:outlineLvl w:val="0"/>
    </w:pPr>
    <w:rPr>
      <w:rFonts w:asciiTheme="majorHAnsi" w:hAnsiTheme="majorHAnsi" w:eastAsiaTheme="majorEastAsia" w:cstheme="majorBidi" w:ascii="Arial" w:hAnsi="Arial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60" w:line="276" w:lineRule="auto"/>
      <w:outlineLvl w:val="1"/>
    </w:pPr>
    <w:rPr>
      <w:rFonts w:asciiTheme="majorHAnsi" w:hAnsiTheme="majorHAnsi" w:eastAsiaTheme="majorEastAsia" w:cstheme="majorBidi" w:ascii="Arial" w:hAnsi="Arial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80" w:after="120" w:line="276" w:lineRule="auto"/>
      <w:outlineLvl w:val="2"/>
    </w:pPr>
    <w:rPr>
      <w:rFonts w:asciiTheme="majorHAnsi" w:hAnsiTheme="majorHAnsi" w:eastAsiaTheme="majorEastAsia" w:cstheme="majorBidi" w:ascii="Arial" w:hAnsi="Arial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before="0" w:after="120" w:line="276" w:lineRule="auto"/>
      <w:ind w:left="720" w:hanging="360"/>
      <w:contextualSpacing/>
    </w:pPr>
    <w:rPr>
      <w:rFonts w:ascii="Arial" w:hAnsi="Arial"/>
      <w:color w:val="000000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before="0" w:after="120" w:line="276" w:lineRule="auto"/>
      <w:ind w:left="720" w:hanging="360"/>
      <w:contextualSpacing/>
    </w:pPr>
    <w:rPr>
      <w:rFonts w:ascii="Arial" w:hAnsi="Arial"/>
      <w:color w:val="000000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2025-10-01T00:00:00Z</dcterms:created>
  <dc:creator>PubChat revision analysis</dc:creator>
  <dc:description>Tool evaluation protocol and prompt template for PubChat benchmarking</dc:description>
  <cp:lastModifiedBy>PubChat Study Group</cp:lastModifiedBy>
  <dcterms:modified xsi:type="dcterms:W3CDTF">2026-05-27T00:00:00Z</dcterms:modified>
  <cp:revision>4</cp:revision>
  <dc:title>PubChat Source-Profile Bias Analysis Protocol</dc:title>
  <dc:subject>PubChat source-profile bias analysis protocol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7F5E8F706D614AC7F592C769ACF3C0D4_42</vt:lpwstr>
  </property>
</Properties>
</file>