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D8EA7">
      <w:pPr>
        <w:pStyle w:val="3"/>
        <w:spacing w:after="100" w:line="360" w:lineRule="auto"/>
        <w:jc w:val="center"/>
        <w:rPr>
          <w:rFonts w:hint="default" w:ascii="Arial Bold" w:hAnsi="Arial Bold" w:cs="Arial Bold"/>
          <w:sz w:val="32"/>
          <w:szCs w:val="32"/>
        </w:rPr>
      </w:pPr>
      <w:r>
        <w:rPr>
          <w:rFonts w:hint="default" w:ascii="Arial Bold" w:hAnsi="Arial Bold" w:eastAsia="微软雅黑" w:cs="Arial Bold"/>
          <w:b/>
          <w:color w:val="222222"/>
          <w:sz w:val="32"/>
          <w:szCs w:val="32"/>
        </w:rPr>
        <w:t>PubChat User Assessment Study Protocol: Usability and Acceptability Survey</w:t>
      </w:r>
    </w:p>
    <w:p w14:paraId="72B092B6">
      <w:pPr>
        <w:spacing w:after="100" w:line="360" w:lineRule="auto"/>
        <w:jc w:val="center"/>
        <w:rPr>
          <w:rFonts w:hint="default" w:ascii="Arial Regular" w:hAnsi="Arial Regular" w:cs="Arial Regular"/>
          <w:sz w:val="24"/>
          <w:szCs w:val="24"/>
        </w:rPr>
      </w:pPr>
    </w:p>
    <w:p w14:paraId="71D45D5B">
      <w:pPr>
        <w:spacing w:after="100" w:line="360" w:lineRule="auto"/>
        <w:rPr>
          <w:rFonts w:hint="default" w:ascii="Arial Regular" w:hAnsi="Arial Regular" w:cs="Arial Regular"/>
          <w:sz w:val="24"/>
          <w:szCs w:val="24"/>
        </w:rPr>
      </w:pPr>
      <w:r>
        <w:rPr>
          <w:rFonts w:hint="default" w:ascii="Arial Bold" w:hAnsi="Arial Bold" w:eastAsia="微软雅黑" w:cs="Arial Bold"/>
          <w:b/>
          <w:bCs/>
          <w:color w:val="222222"/>
          <w:sz w:val="24"/>
          <w:szCs w:val="24"/>
        </w:rPr>
        <w:t xml:space="preserve">Protocol version: </w:t>
      </w:r>
      <w:r>
        <w:rPr>
          <w:rFonts w:hint="default" w:ascii="Arial Regular" w:hAnsi="Arial Regular" w:eastAsia="微软雅黑" w:cs="Arial Regular"/>
          <w:b w:val="0"/>
          <w:color w:val="222222"/>
          <w:sz w:val="24"/>
          <w:szCs w:val="24"/>
        </w:rPr>
        <w:t>Version 1.0</w:t>
      </w:r>
    </w:p>
    <w:p w14:paraId="44BB1ADD">
      <w:pPr>
        <w:spacing w:after="100" w:line="360" w:lineRule="auto"/>
        <w:rPr>
          <w:rFonts w:hint="default" w:ascii="Arial Regular" w:hAnsi="Arial Regular" w:cs="Arial Regular"/>
          <w:sz w:val="24"/>
          <w:szCs w:val="24"/>
        </w:rPr>
      </w:pPr>
      <w:r>
        <w:rPr>
          <w:rFonts w:hint="default" w:ascii="Arial Bold" w:hAnsi="Arial Bold" w:eastAsia="微软雅黑" w:cs="Arial Bold"/>
          <w:b/>
          <w:bCs/>
          <w:color w:val="222222"/>
          <w:sz w:val="24"/>
          <w:szCs w:val="24"/>
        </w:rPr>
        <w:t xml:space="preserve">Protocol date: </w:t>
      </w:r>
      <w:r>
        <w:rPr>
          <w:rFonts w:hint="default" w:ascii="Arial Regular" w:hAnsi="Arial Regular" w:eastAsia="微软雅黑" w:cs="Arial Regular"/>
          <w:b w:val="0"/>
          <w:color w:val="222222"/>
          <w:sz w:val="24"/>
          <w:szCs w:val="24"/>
        </w:rPr>
        <w:t>28 May 2026</w:t>
      </w:r>
    </w:p>
    <w:p w14:paraId="6A008B0B">
      <w:pPr>
        <w:spacing w:after="100" w:line="360" w:lineRule="auto"/>
        <w:rPr>
          <w:rFonts w:hint="default" w:ascii="Arial Regular" w:hAnsi="Arial Regular" w:cs="Arial Regular"/>
          <w:sz w:val="24"/>
          <w:szCs w:val="24"/>
        </w:rPr>
      </w:pPr>
      <w:r>
        <w:rPr>
          <w:rFonts w:hint="default" w:ascii="Arial Bold" w:hAnsi="Arial Bold" w:eastAsia="微软雅黑" w:cs="Arial Bold"/>
          <w:b/>
          <w:bCs/>
          <w:color w:val="222222"/>
          <w:sz w:val="24"/>
          <w:szCs w:val="24"/>
        </w:rPr>
        <w:t xml:space="preserve">Archival status: </w:t>
      </w:r>
      <w:r>
        <w:rPr>
          <w:rFonts w:hint="default" w:ascii="Arial Regular" w:hAnsi="Arial Regular" w:eastAsia="微软雅黑" w:cs="Arial Regular"/>
          <w:b w:val="0"/>
          <w:color w:val="222222"/>
          <w:sz w:val="24"/>
          <w:szCs w:val="24"/>
        </w:rPr>
        <w:t>Prepared for retrospective public archival after completion of data collection and analysis.</w:t>
      </w:r>
    </w:p>
    <w:p w14:paraId="40A6053B">
      <w:pPr>
        <w:spacing w:after="100" w:line="360" w:lineRule="auto"/>
        <w:rPr>
          <w:rFonts w:hint="default" w:ascii="Arial Regular" w:hAnsi="Arial Regular" w:cs="Arial Regular"/>
          <w:sz w:val="24"/>
          <w:szCs w:val="24"/>
        </w:rPr>
      </w:pPr>
      <w:r>
        <w:rPr>
          <w:rFonts w:hint="default" w:ascii="Arial Bold" w:hAnsi="Arial Bold" w:eastAsia="微软雅黑" w:cs="Arial Bold"/>
          <w:b/>
          <w:bCs/>
          <w:color w:val="222222"/>
          <w:sz w:val="24"/>
          <w:szCs w:val="24"/>
        </w:rPr>
        <w:t xml:space="preserve">Ethics review: </w:t>
      </w:r>
      <w:r>
        <w:rPr>
          <w:rFonts w:hint="default" w:ascii="Arial Regular" w:hAnsi="Arial Regular" w:eastAsia="微软雅黑" w:cs="Arial Regular"/>
          <w:b w:val="0"/>
          <w:color w:val="222222"/>
          <w:sz w:val="24"/>
          <w:szCs w:val="24"/>
        </w:rPr>
        <w:t>The overall study protocol was reviewed by the Ethics Committee of Guangdong Provincial People's Hospital and granted an exemption from full ethical review (No. KY2026-317-01).</w:t>
      </w:r>
    </w:p>
    <w:p w14:paraId="478C82C0">
      <w:pPr>
        <w:pStyle w:val="3"/>
        <w:spacing w:after="100" w:line="360" w:lineRule="auto"/>
        <w:rPr>
          <w:rFonts w:hint="default" w:ascii="Arial Bold" w:hAnsi="Arial Bold" w:cs="Arial Bold"/>
          <w:sz w:val="28"/>
          <w:szCs w:val="28"/>
        </w:rPr>
      </w:pPr>
      <w:r>
        <w:rPr>
          <w:rFonts w:hint="default" w:ascii="Arial Bold" w:hAnsi="Arial Bold" w:eastAsia="微软雅黑" w:cs="Arial Bold"/>
          <w:b/>
          <w:color w:val="222222"/>
          <w:sz w:val="28"/>
          <w:szCs w:val="28"/>
        </w:rPr>
        <w:t>1. Background</w:t>
      </w:r>
    </w:p>
    <w:p w14:paraId="52A50D94">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PubChat is an AI-assisted literature retrieval system designed to support biomedical evidence retrieval through PubMed-grounded search, relevance scoring, and structured output. Alongside technical benchmarking against Cochrane-derived gold-standard corpora and comparator AI tools, a user assessment was conducted to characterize how first-time biomedical users perceived PubChat's usability, reliability, efficiency, and practical acceptability after using the tool for literature retrieval tasks.</w:t>
      </w:r>
    </w:p>
    <w:p w14:paraId="1F35CD0F">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user assessment was intended to complement objective retrieval benchmarking. It was not designed to replace technical validation or to measure long-term adoption.</w:t>
      </w:r>
    </w:p>
    <w:p w14:paraId="444DE475">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2. Objectives</w:t>
      </w:r>
    </w:p>
    <w:p w14:paraId="11C03518">
      <w:pPr>
        <w:pStyle w:val="4"/>
        <w:spacing w:after="100" w:line="360" w:lineRule="auto"/>
        <w:rPr>
          <w:rFonts w:hint="default" w:ascii="Arial Bold" w:hAnsi="Arial Bold" w:cs="Arial Bold"/>
          <w:sz w:val="24"/>
          <w:szCs w:val="24"/>
        </w:rPr>
      </w:pPr>
      <w:r>
        <w:rPr>
          <w:rFonts w:hint="default" w:ascii="Arial Bold" w:hAnsi="Arial Bold" w:eastAsia="微软雅黑" w:cs="Arial Bold"/>
          <w:b/>
          <w:color w:val="222222"/>
          <w:sz w:val="24"/>
          <w:szCs w:val="24"/>
        </w:rPr>
        <w:t>2.1 Primary Objective</w:t>
      </w:r>
    </w:p>
    <w:p w14:paraId="38DC3315">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To evaluate first-time users' perceived usability and acceptability of PubChat after use in literature retrieval tasks.</w:t>
      </w:r>
    </w:p>
    <w:p w14:paraId="31739CCE">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2.2 Secondary Objectives</w:t>
      </w:r>
    </w:p>
    <w:p w14:paraId="02A248DE">
      <w:pPr>
        <w:numPr>
          <w:ilvl w:val="0"/>
          <w:numId w:val="7"/>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To assess user perceptions across five evaluation domains: retrieval accuracy and comprehensiveness, consistency and reliability, innovation, efficiency, and user experience satisfaction.</w:t>
      </w:r>
    </w:p>
    <w:p w14:paraId="5DE7AFD9">
      <w:pPr>
        <w:numPr>
          <w:ilvl w:val="0"/>
          <w:numId w:val="7"/>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To compare users' perceived performance of PubChat with general large language models, specialized literature search tools, and manual search or traditional databases.</w:t>
      </w:r>
    </w:p>
    <w:p w14:paraId="1BEEAC8C">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3. Study Design</w:t>
      </w:r>
    </w:p>
    <w:p w14:paraId="55CBBAC8">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This was an exploratory, cross-sectional, questionnaire-based usability and acceptability survey. Participants completed an online questionnaire after being introduced to PubChat and using it for literature retrieval tasks.</w:t>
      </w:r>
    </w:p>
    <w:p w14:paraId="281B05C0">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4. Study Flow and Procedure</w:t>
      </w:r>
    </w:p>
    <w:p w14:paraId="42F9A763">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survey followed a predefined remote workflow from eligibility screening through final data analysis.</w:t>
      </w:r>
    </w:p>
    <w:p w14:paraId="2BB85493">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Eligibility screening of potential participants against the target population and inclusion criteria.</w:t>
      </w:r>
    </w:p>
    <w:p w14:paraId="1A196B2E">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Informed consent before access to the questionnaire items.</w:t>
      </w:r>
    </w:p>
    <w:p w14:paraId="5F2AF1AB">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Brief introduction to PubChat and use of the tool through the PubChat website (https://pubchat.cn/) for literature retrieval tasks.</w:t>
      </w:r>
    </w:p>
    <w:p w14:paraId="344BA009">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Completion of the mandatory online questionnaire on the survey platform.</w:t>
      </w:r>
    </w:p>
    <w:p w14:paraId="6C2A9A37">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Export and de-identification of survey records after closure of data collection.</w:t>
      </w:r>
    </w:p>
    <w:p w14:paraId="5BE10379">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Predefined data-quality screening for implausible completion time, straight-lining, duplicate records, and variable consistency.</w:t>
      </w:r>
    </w:p>
    <w:p w14:paraId="04E4DA8D">
      <w:pPr>
        <w:numPr>
          <w:ilvl w:val="0"/>
          <w:numId w:val="8"/>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Creation of the final analysis set and conduct of prespecified descriptive and comparative analyses.</w:t>
      </w:r>
      <w:bookmarkStart w:id="0" w:name="_GoBack"/>
      <w:bookmarkEnd w:id="0"/>
    </w:p>
    <w:p w14:paraId="19181979">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5. Survey Administration</w:t>
      </w:r>
    </w:p>
    <w:p w14:paraId="52203FEC">
      <w:pPr>
        <w:numPr>
          <w:ilvl w:val="0"/>
          <w:numId w:val="9"/>
        </w:numPr>
        <w:spacing w:after="100" w:line="360" w:lineRule="auto"/>
        <w:ind w:left="720" w:leftChars="0" w:hanging="360" w:firstLineChars="0"/>
        <w:rPr>
          <w:rFonts w:hint="default" w:ascii="Arial Regular" w:hAnsi="Arial Regular" w:eastAsia="微软雅黑" w:cs="Arial Regular"/>
          <w:b w:val="0"/>
          <w:color w:val="222222"/>
          <w:sz w:val="24"/>
          <w:szCs w:val="24"/>
        </w:rPr>
      </w:pPr>
      <w:r>
        <w:rPr>
          <w:rFonts w:hint="default" w:ascii="Arial Regular" w:hAnsi="Arial Regular" w:eastAsia="微软雅黑" w:cs="Arial Regular"/>
          <w:b w:val="0"/>
          <w:color w:val="222222"/>
          <w:sz w:val="24"/>
          <w:szCs w:val="24"/>
        </w:rPr>
        <w:t>Survey platform: Online questionnaire administered through www.wjx.cn.</w:t>
      </w:r>
    </w:p>
    <w:p w14:paraId="57DE2B5C">
      <w:pPr>
        <w:numPr>
          <w:ilvl w:val="0"/>
          <w:numId w:val="9"/>
        </w:numPr>
        <w:spacing w:after="100" w:line="360" w:lineRule="auto"/>
        <w:ind w:left="720" w:leftChars="0" w:hanging="360" w:firstLineChars="0"/>
        <w:rPr>
          <w:rFonts w:hint="default" w:ascii="Arial Regular" w:hAnsi="Arial Regular" w:eastAsia="微软雅黑" w:cs="Arial Regular"/>
          <w:b w:val="0"/>
          <w:color w:val="222222"/>
          <w:sz w:val="24"/>
          <w:szCs w:val="24"/>
        </w:rPr>
      </w:pPr>
      <w:r>
        <w:rPr>
          <w:rFonts w:hint="default" w:ascii="Arial Regular" w:hAnsi="Arial Regular" w:eastAsia="微软雅黑" w:cs="Arial Regular"/>
          <w:b w:val="0"/>
          <w:color w:val="222222"/>
          <w:sz w:val="24"/>
          <w:szCs w:val="24"/>
        </w:rPr>
        <w:t>Recruitment period: December 2025 to February 2026.</w:t>
      </w:r>
    </w:p>
    <w:p w14:paraId="22149BB5">
      <w:pPr>
        <w:numPr>
          <w:ilvl w:val="0"/>
          <w:numId w:val="9"/>
        </w:numPr>
        <w:spacing w:after="100" w:line="360" w:lineRule="auto"/>
        <w:ind w:left="720" w:leftChars="0" w:hanging="360" w:firstLineChars="0"/>
        <w:rPr>
          <w:rFonts w:hint="default" w:ascii="Arial Regular" w:hAnsi="Arial Regular" w:eastAsia="微软雅黑" w:cs="Arial Regular"/>
          <w:b w:val="0"/>
          <w:color w:val="222222"/>
          <w:sz w:val="24"/>
          <w:szCs w:val="24"/>
        </w:rPr>
      </w:pPr>
      <w:r>
        <w:rPr>
          <w:rFonts w:hint="default" w:ascii="Arial Regular" w:hAnsi="Arial Regular" w:eastAsia="微软雅黑" w:cs="Arial Regular"/>
          <w:b w:val="0"/>
          <w:color w:val="222222"/>
          <w:sz w:val="24"/>
          <w:szCs w:val="24"/>
        </w:rPr>
        <w:t>Recruitment setting: Participants engaged in biomedical research-related work across 18 countries or regions.</w:t>
      </w:r>
    </w:p>
    <w:p w14:paraId="0A0D10B6">
      <w:pPr>
        <w:numPr>
          <w:ilvl w:val="0"/>
          <w:numId w:val="9"/>
        </w:numPr>
        <w:spacing w:after="100" w:line="360" w:lineRule="auto"/>
        <w:ind w:left="720" w:leftChars="0" w:hanging="360" w:firstLineChars="0"/>
        <w:rPr>
          <w:rFonts w:hint="default" w:ascii="Arial Regular" w:hAnsi="Arial Regular" w:eastAsia="微软雅黑" w:cs="Arial Regular"/>
          <w:b w:val="0"/>
          <w:color w:val="222222"/>
          <w:sz w:val="24"/>
          <w:szCs w:val="24"/>
        </w:rPr>
      </w:pPr>
      <w:r>
        <w:rPr>
          <w:rFonts w:hint="default" w:ascii="Arial Regular" w:hAnsi="Arial Regular" w:eastAsia="微软雅黑" w:cs="Arial Regular"/>
          <w:b w:val="0"/>
          <w:color w:val="222222"/>
          <w:sz w:val="24"/>
          <w:szCs w:val="24"/>
        </w:rPr>
        <w:t>Mode of participation: Remote participation with mandatory completion of questionnaire items.</w:t>
      </w:r>
    </w:p>
    <w:p w14:paraId="71D53536">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6. Study Population</w:t>
      </w:r>
    </w:p>
    <w:p w14:paraId="64060F29">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6.1 Target Population</w:t>
      </w:r>
    </w:p>
    <w:p w14:paraId="0136ADE1">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target population comprised biomedical students, researchers, clinicians, and other health-science professionals who were first-time PubChat users and who could provide informed consent before completing the survey.</w:t>
      </w:r>
    </w:p>
    <w:p w14:paraId="197A9EE8">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6.2 Inclusion Criteria</w:t>
      </w:r>
    </w:p>
    <w:p w14:paraId="2409CD3B">
      <w:pPr>
        <w:numPr>
          <w:ilvl w:val="0"/>
          <w:numId w:val="10"/>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First-time user of PubChat during the assessment.</w:t>
      </w:r>
    </w:p>
    <w:p w14:paraId="5929F48B">
      <w:pPr>
        <w:numPr>
          <w:ilvl w:val="0"/>
          <w:numId w:val="10"/>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Biomedical, clinical, public health, pharmacy, nursing, dentistry, psychiatry, veterinary medicine, or related research/professional background.</w:t>
      </w:r>
    </w:p>
    <w:p w14:paraId="68FF27B8">
      <w:pPr>
        <w:numPr>
          <w:ilvl w:val="0"/>
          <w:numId w:val="10"/>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Able to access the online survey platform and complete the questionnaire.</w:t>
      </w:r>
    </w:p>
    <w:p w14:paraId="167E721D">
      <w:pPr>
        <w:numPr>
          <w:ilvl w:val="0"/>
          <w:numId w:val="10"/>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Provided informed consent for participation.</w:t>
      </w:r>
    </w:p>
    <w:p w14:paraId="377E094C">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6.3 Exclusion Criteria</w:t>
      </w:r>
    </w:p>
    <w:p w14:paraId="1E964584">
      <w:pPr>
        <w:numPr>
          <w:ilvl w:val="0"/>
          <w:numId w:val="11"/>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Implausibly short completion time, defined as less than 3 minutes for the 42-item questionnaire.</w:t>
      </w:r>
    </w:p>
    <w:p w14:paraId="703C9987">
      <w:pPr>
        <w:numPr>
          <w:ilvl w:val="0"/>
          <w:numId w:val="11"/>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Repeated selection of the same response option across the 28 five-point evaluation items.</w:t>
      </w:r>
    </w:p>
    <w:p w14:paraId="6DA984EE">
      <w:pPr>
        <w:numPr>
          <w:ilvl w:val="0"/>
          <w:numId w:val="11"/>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Responses failing the above data-quality checks were excluded before final analysis.</w:t>
      </w:r>
    </w:p>
    <w:p w14:paraId="6142AB4B">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7. Recruitment and Consent Procedures</w:t>
      </w:r>
    </w:p>
    <w:p w14:paraId="3FB1DEFA">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Participants were recruited using a purposive snowball strategy. Initial contacts from academic institutions were selected to support diversity in geography, specialty, and career stage, and then distributed the survey within their professional or academic networks.</w:t>
      </w:r>
    </w:p>
    <w:p w14:paraId="4EC991C1">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All participants provided informed consent before completing the questionnaire. The questionnaire collected demographic and professional information needed for aggregate analysis but did not require direct personal identifiers such as participant names.</w:t>
      </w:r>
    </w:p>
    <w:p w14:paraId="329D53BF">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8. Participant Introduction to PubChat and Survey Completion Procedures</w:t>
      </w:r>
    </w:p>
    <w:p w14:paraId="7B2555C0">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assessment enrolled first-time PubChat users. Before completing the questionnaire, participants received a brief introduction to PubChat and accessed the tool through the PubChat website (https://pubchat.cn/) to complete literature retrieval tasks. The survey was then completed after tool exposure and captured users' perceived retrieval quality, reliability, efficiency, interface usability, and comparative preference.</w:t>
      </w:r>
    </w:p>
    <w:p w14:paraId="00459BA7">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9. Questionnaire Structure</w:t>
      </w:r>
    </w:p>
    <w:p w14:paraId="558A5F79">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questionnaire contained 8 sections and 42 items. The survey structure is summarized below.</w:t>
      </w:r>
    </w:p>
    <w:p w14:paraId="463CC2B7">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1 (Q1-Q9): Basic demographic, professional, and literature-search background; response formats included age, categorical demographic and professional items, and ordered experience items.</w:t>
      </w:r>
    </w:p>
    <w:p w14:paraId="4E5FEF46">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2 (Q10-Q16): Retrieval precision, relevance, comprehensiveness, recency, complex-task handling, hallucination avoidance, and goal alignment; responses used a five-point scale from Very Poor to Very Good.</w:t>
      </w:r>
    </w:p>
    <w:p w14:paraId="1EB4801F">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3 (Q17-Q21): Retrieval consistency and reliability, including repeated-run consistency, operational stability, error recovery, and report completeness; responses used a five-point scale from Very Poor to Very Good.</w:t>
      </w:r>
    </w:p>
    <w:p w14:paraId="721E49D5">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4 (Q22-Q26): Innovation-related functions, including medical applicability, journal impact factor matching, relevance scoring, customizable search strategy, and multilingual support; responses used a five-point scale from Very Poor to Very Good.</w:t>
      </w:r>
    </w:p>
    <w:p w14:paraId="2DFC35D0">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5 (Q27-Q30): Work efficiency, including speed, automation, workload reduction, and research enhancement; responses used a five-point scale from Very Poor to Very Good.</w:t>
      </w:r>
    </w:p>
    <w:p w14:paraId="4F016C38">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6 (Q31-Q34): Prior tool use and comparative rating versus general LLMs, specialized literature search tools, and manual search or traditional databases; response formats included multiple choice and a comparative ordinal scale from Much Worse to Much Better plus Uncertain.</w:t>
      </w:r>
    </w:p>
    <w:p w14:paraId="0CC66C33">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7 (Q35-Q41): User experience satisfaction, including interface friendliness, setup convenience, operational ease, guidance clarity, needs fulfillment, overall satisfaction, and recommendation intent; responses used a five-point scale from Very Poor to Very Good.</w:t>
      </w:r>
    </w:p>
    <w:p w14:paraId="0CD096CE">
      <w:pPr>
        <w:numPr>
          <w:ilvl w:val="0"/>
          <w:numId w:val="12"/>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 8 (Q42): Open-ended suggestions for improvement or additional features; response format was free text.</w:t>
      </w:r>
    </w:p>
    <w:p w14:paraId="01246AA6">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10. Outcome Measures</w:t>
      </w:r>
    </w:p>
    <w:p w14:paraId="0950E060">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10.1 Primary Study Outcome</w:t>
      </w:r>
    </w:p>
    <w:p w14:paraId="25A74188">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primary study outcome was first-time users' perceived usability and acceptability of PubChat after use in literature retrieval tasks. This was operationalized using the prespecified 0-100 survey score framework derived from the 28 five-point evaluation items.</w:t>
      </w:r>
    </w:p>
    <w:p w14:paraId="220E759F">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10.2 Secondary Study Outcomes</w:t>
      </w:r>
    </w:p>
    <w:p w14:paraId="7449836F">
      <w:pPr>
        <w:numPr>
          <w:ilvl w:val="0"/>
          <w:numId w:val="13"/>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Domain-specific perceived performance across retrieval accuracy and comprehensiveness, consistency and reliability, innovation, efficiency, and user experience satisfaction.</w:t>
      </w:r>
    </w:p>
    <w:p w14:paraId="23715A9F">
      <w:pPr>
        <w:numPr>
          <w:ilvl w:val="0"/>
          <w:numId w:val="13"/>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Comparative ratings of PubChat versus general large language models, specialized literature search tools, and manual search or traditional databases.</w:t>
      </w:r>
    </w:p>
    <w:p w14:paraId="294857A4">
      <w:pPr>
        <w:numPr>
          <w:ilvl w:val="0"/>
          <w:numId w:val="13"/>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Cross-specialty differences in domain-level scores.</w:t>
      </w:r>
    </w:p>
    <w:p w14:paraId="35087BB9">
      <w:pPr>
        <w:numPr>
          <w:ilvl w:val="0"/>
          <w:numId w:val="13"/>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Qualitative suggestions from the open-ended questionnaire item.</w:t>
      </w:r>
    </w:p>
    <w:p w14:paraId="2C742608">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11. Sample Size and Analysis Set</w:t>
      </w:r>
    </w:p>
    <w:p w14:paraId="0346B788">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As this was an exploratory descriptive survey, a target of approximately 300 complete responses was considered appropriate to provide stable descriptive estimates, support cross-specialty comparisons, and allow psychometric assessment of the 28 five-point evaluation items.</w:t>
      </w:r>
    </w:p>
    <w:p w14:paraId="4462BF36">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12. Analysis Set and Missing Data</w:t>
      </w:r>
    </w:p>
    <w:p w14:paraId="0BADFCDC">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complete response set was defined as all submitted questionnaires with mandatory survey items completed. Excluded responses were complete submissions that failed predefined data-quality checks, including implausible completion time or straight-lining across the five-point evaluation items. The final analysis set was defined as the complete response set after exclusion of records failing these quality checks.</w:t>
      </w:r>
    </w:p>
    <w:p w14:paraId="445BEDEB">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Because the online questionnaire required completion of all survey items before submission, item-level missingness was not expected. If missing or corrupted values were identified after export, they were to be flagged during data cleaning and described in the analysis record. No statistical imputation was planned for survey item responses.</w:t>
      </w:r>
    </w:p>
    <w:p w14:paraId="59ABD991">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Open-ended responses, when provided, were retained for qualitative review but were not treated as required quantitative endpoints.</w:t>
      </w:r>
    </w:p>
    <w:p w14:paraId="0469D40F">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13. Statistical Analysis Approach</w:t>
      </w:r>
    </w:p>
    <w:p w14:paraId="56DA0D8B">
      <w:pPr>
        <w:pStyle w:val="4"/>
        <w:spacing w:after="100" w:line="360" w:lineRule="auto"/>
        <w:rPr>
          <w:rFonts w:hint="default" w:ascii="Arial Bold" w:hAnsi="Arial Bold" w:eastAsia="微软雅黑" w:cs="Arial Bold"/>
          <w:b/>
          <w:color w:val="222222"/>
          <w:sz w:val="24"/>
          <w:szCs w:val="24"/>
        </w:rPr>
      </w:pPr>
      <w:r>
        <w:rPr>
          <w:rFonts w:hint="default" w:ascii="Arial Bold" w:hAnsi="Arial Bold" w:eastAsia="微软雅黑" w:cs="Arial Bold"/>
          <w:b/>
          <w:color w:val="222222"/>
          <w:sz w:val="24"/>
          <w:szCs w:val="24"/>
        </w:rPr>
        <w:t>13.1 Scoring Approach</w:t>
      </w:r>
    </w:p>
    <w:p w14:paraId="3C6F24D9">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Five-point evaluation items were directionally scored so that higher values indicated more favorable evaluations. For domain-level 0-100 scores, item responses were transformed using the following scale: Very Poor = 0, Poor = 25, Fair = 50, Good = 75, Very Good = 100. Each domain score was calculated as the mean of the transformed item scores within that domain.</w:t>
      </w:r>
    </w:p>
    <w:p w14:paraId="5355E53B">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Comparative ratings in Part 6 were summarized descriptively as response proportions.</w:t>
      </w:r>
    </w:p>
    <w:p w14:paraId="6FDEB5A6">
      <w:p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open-ended item was intended to collect qualitative suggestions for tool improvement and was not treated as a primary quantitative endpoint.</w:t>
      </w:r>
    </w:p>
    <w:p w14:paraId="0C0C573C">
      <w:pPr>
        <w:numPr>
          <w:ilvl w:val="0"/>
          <w:numId w:val="14"/>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Rasch-based item-person mapping was applied to the 28 five-point evaluation items to examine item distribution, item difficulty, person ability, and potential ceiling effects.</w:t>
      </w:r>
    </w:p>
    <w:p w14:paraId="26FD076E">
      <w:pPr>
        <w:numPr>
          <w:ilvl w:val="0"/>
          <w:numId w:val="14"/>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Participant characteristics were summarized using counts and percentages for categorical variables and mean, standard deviation, and range for age.</w:t>
      </w:r>
    </w:p>
    <w:p w14:paraId="445CCCEA">
      <w:pPr>
        <w:numPr>
          <w:ilvl w:val="0"/>
          <w:numId w:val="14"/>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Item-level responses were summarized as stacked proportions across response categories.</w:t>
      </w:r>
    </w:p>
    <w:p w14:paraId="03D9D8B9">
      <w:pPr>
        <w:numPr>
          <w:ilvl w:val="0"/>
          <w:numId w:val="14"/>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Domain-level scores were summarized on a 0-100 scale using descriptive statistics.</w:t>
      </w:r>
    </w:p>
    <w:p w14:paraId="09E983C9">
      <w:pPr>
        <w:numPr>
          <w:ilvl w:val="0"/>
          <w:numId w:val="14"/>
        </w:numPr>
        <w:spacing w:after="100" w:line="360" w:lineRule="auto"/>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Comparative ratings versus general LLMs, specialized literature search tools, and manual search or traditional databases were summarized using response proportions.</w:t>
      </w:r>
    </w:p>
    <w:p w14:paraId="57BF8E02">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14. Data Management and Quality Control</w:t>
      </w:r>
    </w:p>
    <w:p w14:paraId="21139BEC">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online survey platform required completion of all questionnaire items before submission, thereby reducing item-level missingness. The questionnaire collected demographic and professional variables needed for aggregate analysis but did not require names or other direct personal identifiers.</w:t>
      </w:r>
    </w:p>
    <w:p w14:paraId="776A3037">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After data collection closed, survey records were exported by authorized study personnel and stored as de-identified analysis files. Access to raw exports and cleaned datasets was restricted to authorized members of the study team involved in data management, quality control, or statistical analysis.</w:t>
      </w:r>
    </w:p>
    <w:p w14:paraId="218C7BF9">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Predefined quality-control checks included confirmation of complete submission status, screening for implausibly short completion time, identification of straight-lining across the 28 five-point evaluation items, review for duplicate or ineligible records where applicable, and verification of exported variable consistency.</w:t>
      </w:r>
    </w:p>
    <w:p w14:paraId="4FF5AFDD">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Records failing predefined quality checks were excluded before analysis. The cleaned dataset created after these checks constituted the final analysis set.</w:t>
      </w:r>
    </w:p>
    <w:p w14:paraId="6CCB7DBC">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15. Ethics Approval and Informed Consent</w:t>
      </w:r>
    </w:p>
    <w:p w14:paraId="34568603">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overall study protocol was reviewed by the Ethics Committee of Guangdong Provincial People's Hospital (approval number: KY2026-317-01). Participation was voluntary, and informed consent was obtained before questionnaire completion. Participants could choose not to complete the survey without penalty.</w:t>
      </w:r>
    </w:p>
    <w:p w14:paraId="05F900E5">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16. Participant Confidentiality</w:t>
      </w:r>
    </w:p>
    <w:p w14:paraId="57073958">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questionnaire did not require direct personal identifiers such as participant names. Demographic and professional information was used for aggregate analysis only. De-identified records were used for scoring, descriptive summaries, psychometric evaluation, and cross-specialty comparisons.</w:t>
      </w:r>
    </w:p>
    <w:p w14:paraId="0BF2CBEA">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Results were reported in aggregate form. No individual participant-level identifying information was intended for publication or public archival.</w:t>
      </w:r>
    </w:p>
    <w:p w14:paraId="77D64190">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17. Data Access and Dissemination Policy</w:t>
      </w:r>
    </w:p>
    <w:p w14:paraId="70F48CA4">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Access to survey datasets was limited to authorized study personnel. Any public reporting of the user assessment was to be limited to aggregate results, domain-level scores, response proportions, statistical comparisons, and qualitative summaries that did not identify individual participants.</w:t>
      </w:r>
    </w:p>
    <w:p w14:paraId="78D3C4F6">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Findings from the user assessment were intended to be reported in the PubChat manuscript and associated supplementary or archival materials to improve transparency and reproducibility.</w:t>
      </w:r>
    </w:p>
    <w:p w14:paraId="708D44F2">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18. Declaration of Interests</w:t>
      </w:r>
    </w:p>
    <w:p w14:paraId="3DEF2CA0">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The authors declare no conflicts of interest relevant to the design, conduct, analysis, interpretation, or reporting of this user assessment.</w:t>
      </w:r>
    </w:p>
    <w:p w14:paraId="6005B1FB">
      <w:pPr>
        <w:pStyle w:val="3"/>
        <w:spacing w:after="100" w:line="360" w:lineRule="auto"/>
        <w:rPr>
          <w:rFonts w:hint="default" w:ascii="Arial Bold" w:hAnsi="Arial Bold" w:eastAsia="微软雅黑" w:cs="Arial Bold"/>
          <w:b/>
          <w:color w:val="222222"/>
          <w:sz w:val="28"/>
          <w:szCs w:val="28"/>
        </w:rPr>
      </w:pPr>
      <w:r>
        <w:rPr>
          <w:rFonts w:hint="default" w:ascii="Arial Bold" w:hAnsi="Arial Bold" w:eastAsia="微软雅黑" w:cs="Arial Bold"/>
          <w:b/>
          <w:color w:val="222222"/>
          <w:sz w:val="28"/>
          <w:szCs w:val="28"/>
        </w:rPr>
        <w:t>19. Protocol Archival Statement</w:t>
      </w:r>
    </w:p>
    <w:p w14:paraId="01CEAA78">
      <w:pPr>
        <w:spacing w:after="100" w:line="360" w:lineRule="auto"/>
        <w:ind w:firstLine="480" w:firstLineChars="200"/>
        <w:rPr>
          <w:rFonts w:hint="default" w:ascii="Arial Regular" w:hAnsi="Arial Regular" w:cs="Arial Regular"/>
          <w:sz w:val="24"/>
          <w:szCs w:val="24"/>
        </w:rPr>
      </w:pPr>
      <w:r>
        <w:rPr>
          <w:rFonts w:hint="default" w:ascii="Arial Regular" w:hAnsi="Arial Regular" w:eastAsia="微软雅黑" w:cs="Arial Regular"/>
          <w:b w:val="0"/>
          <w:color w:val="222222"/>
          <w:sz w:val="24"/>
          <w:szCs w:val="24"/>
        </w:rPr>
        <w:t>This protocol was publicly archived after completion of survey data collection to improve transparency and reproducibility of the reported user assessment. It documents the survey design, recruitment approach, questionnaire structure, exclusion rules, scoring approach, and analysis approach used for the PubChat user assessment.</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Arial Bold">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Arial Regular">
    <w:panose1 w:val="020B06040202020902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EF34D"/>
    <w:multiLevelType w:val="singleLevel"/>
    <w:tmpl w:val="BFDEF34D"/>
    <w:lvl w:ilvl="0" w:tentative="0">
      <w:start w:val="1"/>
      <w:numFmt w:val="decimal"/>
      <w:lvlText w:val="(%1)"/>
      <w:lvlJc w:val="left"/>
      <w:pPr>
        <w:ind w:left="720" w:hanging="360"/>
      </w:pPr>
    </w:lvl>
  </w:abstractNum>
  <w:abstractNum w:abstractNumId="1">
    <w:nsid w:val="CD64067B"/>
    <w:multiLevelType w:val="singleLevel"/>
    <w:tmpl w:val="CD64067B"/>
    <w:lvl w:ilvl="0" w:tentative="0">
      <w:start w:val="1"/>
      <w:numFmt w:val="decimal"/>
      <w:lvlText w:val="(%1)"/>
      <w:lvlJc w:val="left"/>
      <w:pPr>
        <w:ind w:left="720" w:hanging="360"/>
      </w:pPr>
    </w:lvl>
  </w:abstractNum>
  <w:abstractNum w:abstractNumId="2">
    <w:nsid w:val="DFEF80D3"/>
    <w:multiLevelType w:val="singleLevel"/>
    <w:tmpl w:val="DFEF80D3"/>
    <w:lvl w:ilvl="0" w:tentative="0">
      <w:start w:val="1"/>
      <w:numFmt w:val="decimal"/>
      <w:lvlText w:val="(%1)"/>
      <w:lvlJc w:val="left"/>
      <w:pPr>
        <w:ind w:left="720" w:hanging="360"/>
      </w:pPr>
    </w:lvl>
  </w:abstractNum>
  <w:abstractNum w:abstractNumId="3">
    <w:nsid w:val="ED951B64"/>
    <w:multiLevelType w:val="singleLevel"/>
    <w:tmpl w:val="ED951B64"/>
    <w:lvl w:ilvl="0" w:tentative="0">
      <w:start w:val="1"/>
      <w:numFmt w:val="decimal"/>
      <w:lvlText w:val="(%1)"/>
      <w:lvlJc w:val="left"/>
      <w:pPr>
        <w:ind w:left="720" w:hanging="360"/>
      </w:pPr>
    </w:lvl>
  </w:abstractNum>
  <w:abstractNum w:abstractNumId="4">
    <w:nsid w:val="EEDE70F3"/>
    <w:multiLevelType w:val="singleLevel"/>
    <w:tmpl w:val="EEDE70F3"/>
    <w:lvl w:ilvl="0" w:tentative="0">
      <w:start w:val="1"/>
      <w:numFmt w:val="decimal"/>
      <w:lvlText w:val="(%1)"/>
      <w:lvlJc w:val="left"/>
      <w:pPr>
        <w:ind w:left="720" w:hanging="360"/>
      </w:pPr>
    </w:lvl>
  </w:abstractNum>
  <w:abstractNum w:abstractNumId="5">
    <w:nsid w:val="FBFDA393"/>
    <w:multiLevelType w:val="singleLevel"/>
    <w:tmpl w:val="FBFDA393"/>
    <w:lvl w:ilvl="0" w:tentative="0">
      <w:start w:val="1"/>
      <w:numFmt w:val="decimal"/>
      <w:lvlText w:val="(%1)"/>
      <w:lvlJc w:val="left"/>
      <w:pPr>
        <w:ind w:left="720" w:hanging="360"/>
      </w:pPr>
    </w:lvl>
  </w:abstractNum>
  <w:abstractNum w:abstractNumId="6">
    <w:nsid w:val="FF8F9A37"/>
    <w:multiLevelType w:val="singleLevel"/>
    <w:tmpl w:val="FF8F9A37"/>
    <w:lvl w:ilvl="0" w:tentative="0">
      <w:start w:val="1"/>
      <w:numFmt w:val="decimal"/>
      <w:lvlText w:val="(%1)"/>
      <w:lvlJc w:val="left"/>
      <w:pPr>
        <w:ind w:left="720" w:hanging="360"/>
      </w:p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3ABC8B8D"/>
    <w:multiLevelType w:val="singleLevel"/>
    <w:tmpl w:val="3ABC8B8D"/>
    <w:lvl w:ilvl="0" w:tentative="0">
      <w:start w:val="1"/>
      <w:numFmt w:val="decimal"/>
      <w:lvlText w:val="(%1)"/>
      <w:lvlJc w:val="left"/>
      <w:pPr>
        <w:ind w:left="720" w:hanging="360"/>
      </w:p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2"/>
  </w:num>
  <w:num w:numId="8">
    <w:abstractNumId w:val="0"/>
  </w:num>
  <w:num w:numId="9">
    <w:abstractNumId w:val="5"/>
  </w:num>
  <w:num w:numId="10">
    <w:abstractNumId w:val="1"/>
  </w:num>
  <w:num w:numId="11">
    <w:abstractNumId w:val="3"/>
  </w:num>
  <w:num w:numId="12">
    <w:abstractNumId w:val="6"/>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F373B"/>
    <w:rsid w:val="2FFF7AA2"/>
    <w:rsid w:val="37FF05AF"/>
    <w:rsid w:val="3FDF806C"/>
    <w:rsid w:val="46CCC71D"/>
    <w:rsid w:val="6FF1F9A7"/>
    <w:rsid w:val="7BDC80EC"/>
    <w:rsid w:val="7BDCD190"/>
    <w:rsid w:val="7DCF086D"/>
    <w:rsid w:val="9E71C65F"/>
    <w:rsid w:val="AF5FB669"/>
    <w:rsid w:val="B7BE3DDA"/>
    <w:rsid w:val="BEE97FF9"/>
    <w:rsid w:val="E9B92558"/>
    <w:rsid w:val="F74F464F"/>
    <w:rsid w:val="FE6DD5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楠snowman</cp:lastModifiedBy>
  <dcterms:modified xsi:type="dcterms:W3CDTF">2026-06-03T18:15:46Z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33855F5493CF7F02BB15196ABF6F4FD5_42</vt:lpwstr>
  </property>
</Properties>
</file>