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40" w:lineRule="auto"/>
        <w:jc w:val="center"/>
        <w:rPr>
          <w:rFonts w:ascii="Times New Roman" w:cs="Times New Roman" w:eastAsia="Times New Roman" w:hAnsi="Times New Roman"/>
          <w:b w:val="1"/>
          <w:bCs w:val="1"/>
          <w:color w:val="1b365d"/>
          <w:sz w:val="36"/>
          <w:szCs w:val="36"/>
        </w:rPr>
      </w:pPr>
      <w:r w:rsidDel="00000000" w:rsidR="00000000" w:rsidRPr="00000000">
        <w:rPr>
          <w:rFonts w:ascii="Times New Roman" w:cs="Times New Roman" w:eastAsia="Times New Roman" w:hAnsi="Times New Roman"/>
          <w:b w:val="1"/>
          <w:bCs w:val="1"/>
          <w:color w:val="1b365d"/>
          <w:sz w:val="36"/>
          <w:szCs w:val="36"/>
          <w:rtl w:val="0"/>
        </w:rPr>
        <w:t xml:space="preserve">Decentralized Patient Provenance Architecture:</w:t>
        <w:br w:type="textWrapping"/>
        <w:t xml:space="preserve">Applying GosQAS / GDT Concepts to FHIR-Based Biometric Patient Tracking</w:t>
      </w:r>
    </w:p>
    <w:p w:rsidR="00000000" w:rsidDel="00000000" w:rsidP="00000000" w:rsidRDefault="00000000" w:rsidRPr="00000000" w14:paraId="00000002">
      <w:pPr>
        <w:spacing w:after="360" w:before="240" w:lineRule="auto"/>
        <w:jc w:val="left"/>
        <w:rPr>
          <w:b w:val="1"/>
          <w:bCs w:val="1"/>
          <w:i w:val="1"/>
          <w:iCs w:val="1"/>
          <w:color w:val="1b365d"/>
          <w:sz w:val="16"/>
          <w:szCs w:val="16"/>
        </w:rPr>
      </w:pPr>
      <w:r w:rsidDel="00000000" w:rsidR="00000000" w:rsidRPr="00000000">
        <w:rPr>
          <w:b w:val="1"/>
          <w:bCs w:val="1"/>
          <w:i w:val="1"/>
          <w:iCs w:val="1"/>
          <w:color w:val="1b365d"/>
          <w:sz w:val="16"/>
          <w:szCs w:val="16"/>
          <w:rtl w:val="0"/>
        </w:rPr>
        <w:t xml:space="preserve">Project #85: Global private Health records - A FHIR-based Health record system that lets authorized clinicians access a patient’s essential medical history anywhere, using fingerprint biometrics to verify identity and unlock consented access</w:t>
      </w:r>
    </w:p>
    <w:p w:rsidR="00000000" w:rsidDel="00000000" w:rsidP="00000000" w:rsidRDefault="00000000" w:rsidRPr="00000000" w14:paraId="00000003">
      <w:pPr>
        <w:spacing w:after="200" w:line="276" w:lineRule="auto"/>
        <w:jc w:val="both"/>
        <w:rPr/>
      </w:pPr>
      <w:r w:rsidDel="00000000" w:rsidR="00000000" w:rsidRPr="00000000">
        <w:rPr>
          <w:rFonts w:ascii="Times New Roman" w:cs="Times New Roman" w:eastAsia="Times New Roman" w:hAnsi="Times New Roman"/>
          <w:sz w:val="22"/>
          <w:szCs w:val="22"/>
          <w:rtl w:val="0"/>
        </w:rPr>
        <w:t xml:space="preserve">EXECUTIVE BRIEF CONTEXT: This analytical report provides a rigorous academic and operational framework for implementing a novel approach to zero-knowledge medical informatics. It synthesizes the underlying architecture of the Global Open Source Quality Assurance System (GosQAS) and Global Distributed Tracking (GDT)—fiscally sponsored by Public Invention—and adapts it specifically to international humanitarian patient tracking utilizing HL7 FHIR and Simprints biometric technology.</w:t>
      </w:r>
      <w:r w:rsidDel="00000000" w:rsidR="00000000" w:rsidRPr="00000000">
        <w:rPr>
          <w:rtl w:val="0"/>
        </w:rPr>
      </w:r>
    </w:p>
    <w:p w:rsidR="00000000" w:rsidDel="00000000" w:rsidP="00000000" w:rsidRDefault="00000000" w:rsidRPr="00000000" w14:paraId="00000004">
      <w:pPr>
        <w:keepNext w:val="1"/>
        <w:spacing w:after="160" w:before="360" w:lineRule="auto"/>
        <w:rPr/>
      </w:pPr>
      <w:r w:rsidDel="00000000" w:rsidR="00000000" w:rsidRPr="00000000">
        <w:rPr>
          <w:rFonts w:ascii="Times New Roman" w:cs="Times New Roman" w:eastAsia="Times New Roman" w:hAnsi="Times New Roman"/>
          <w:b w:val="1"/>
          <w:bCs w:val="1"/>
          <w:color w:val="1b365d"/>
          <w:sz w:val="26"/>
          <w:szCs w:val="26"/>
          <w:rtl w:val="0"/>
        </w:rPr>
        <w:t xml:space="preserve">Current Offerings and the State of the Field</w:t>
      </w:r>
      <w:r w:rsidDel="00000000" w:rsidR="00000000" w:rsidRPr="00000000">
        <w:rPr>
          <w:rtl w:val="0"/>
        </w:rPr>
      </w:r>
    </w:p>
    <w:p w:rsidR="00000000" w:rsidDel="00000000" w:rsidP="00000000" w:rsidRDefault="00000000" w:rsidRPr="00000000" w14:paraId="00000005">
      <w:pPr>
        <w:spacing w:after="200" w:line="276" w:lineRule="auto"/>
        <w:jc w:val="both"/>
        <w:rPr/>
      </w:pPr>
      <w:r w:rsidDel="00000000" w:rsidR="00000000" w:rsidRPr="00000000">
        <w:rPr>
          <w:rFonts w:ascii="Times New Roman" w:cs="Times New Roman" w:eastAsia="Times New Roman" w:hAnsi="Times New Roman"/>
          <w:sz w:val="22"/>
          <w:szCs w:val="22"/>
          <w:rtl w:val="0"/>
        </w:rPr>
        <w:t xml:space="preserve">The contemporary landscape of enterprise digital health informatics is dominated by centralized, credential-based electronic health record (EHR) frameworks designed to ensure institutional continuity and regulatory compliance. Within public health and humanitarian engineering, this paradigm is primarily operationalized through modular, open-source systems that function as Digital Global Goods. The preeminent standard-bearer in this domain is OpenMRS (Open Medical Record System), a highly adaptable platform that has historically served as the core infrastructure for large-scale clinical interventions in low-resource settings, such as HIV tracking and maternal care managed by Médecins Sans Frontières. To address the acute need for field-level mobility and localized synchronization, the ecosystem has increasingly pivoted toward mobile architectures built natively upon the Fast Healthcare Interoperability Resources (FHIR) standard. The most notable realization of this trend is OpenSRP 2 (Open Smart Register Platform) and FHIR Core, which leverage the Android FHIR SDK—developed jointly by Google and the World Health Organization—to enable offline-first clinical tracking, dynamic data layout rendering via Structured Data Capture (SDC), and robust backend synchronization with open-source HAPI FHIR JPA storage instances.</w:t>
      </w:r>
      <w:r w:rsidDel="00000000" w:rsidR="00000000" w:rsidRPr="00000000">
        <w:rPr>
          <w:rtl w:val="0"/>
        </w:rPr>
      </w:r>
    </w:p>
    <w:p w:rsidR="00000000" w:rsidDel="00000000" w:rsidP="00000000" w:rsidRDefault="00000000" w:rsidRPr="00000000" w14:paraId="00000006">
      <w:pPr>
        <w:spacing w:after="200" w:line="276" w:lineRule="auto"/>
        <w:jc w:val="both"/>
        <w:rPr/>
      </w:pPr>
      <w:r w:rsidDel="00000000" w:rsidR="00000000" w:rsidRPr="00000000">
        <w:rPr>
          <w:rFonts w:ascii="Times New Roman" w:cs="Times New Roman" w:eastAsia="Times New Roman" w:hAnsi="Times New Roman"/>
          <w:sz w:val="22"/>
          <w:szCs w:val="22"/>
          <w:rtl w:val="0"/>
        </w:rPr>
        <w:t xml:space="preserve">Concurrently, to mitigate identity duplication, patient mismatching, and verification failures in crisis zones or fragmented record environments, biometric integrations have emerged as an operational standard, most notably exemplified by Simprints (SimprintsID). Backed by organizations like the Gates Foundation, Simprints provides an open-source, privacy-first biometric identification framework designed explicitly for low-resource health delivery. The core technical mechanism transforms a patient's physical fingerprint scan via edge-device algorithms into a unique, irreversible cryptographic hash, completely omitting the storage of raw biometric images to preserve privacy. This unique token is typically appended to the standard FHIR demographic record within the 'Patient.identifier' array as a permanent, unique Guid (Globally Unique Identifier), allowing system queries via specific 'Patient/$match' evaluation endpoints.</w:t>
      </w:r>
      <w:r w:rsidDel="00000000" w:rsidR="00000000" w:rsidRPr="00000000">
        <w:rPr>
          <w:rtl w:val="0"/>
        </w:rPr>
      </w:r>
    </w:p>
    <w:p w:rsidR="00000000" w:rsidDel="00000000" w:rsidP="00000000" w:rsidRDefault="00000000" w:rsidRPr="00000000" w14:paraId="00000007">
      <w:pPr>
        <w:spacing w:after="200" w:line="276" w:lineRule="auto"/>
        <w:jc w:val="both"/>
        <w:rPr/>
      </w:pPr>
      <w:r w:rsidDel="00000000" w:rsidR="00000000" w:rsidRPr="00000000">
        <w:rPr>
          <w:rFonts w:ascii="Times New Roman" w:cs="Times New Roman" w:eastAsia="Times New Roman" w:hAnsi="Times New Roman"/>
          <w:sz w:val="22"/>
          <w:szCs w:val="22"/>
          <w:rtl w:val="0"/>
        </w:rPr>
        <w:t xml:space="preserve">While these combined frameworks represent significant engineering achievements, they remain fundamentally anchored in traditional transactional database logic. Enterprise systems require an authenticated administrative layer to manage clinical access rights, meaning data visibility relies heavily on an overarching, pre-existing infrastructure of federated user accounts and central authentication tokens (such as SMART on FHIR/OAuth 2.0). Consequently, patients remain passive subjects of an administrative registry rather than active sovereigns over their clinical histories. Furthermore, the structural reliance on centralized lookup tables to resolve matching operations exposes the underlying architecture to targeted cybersecurity breaches, corporate data monetization, and geopolitical vulnerabilities. This becomes particularly acute when humanitarian or refugee infrastructure falls under the control or surveillance of hostile state actors, turning a centralized registry into a hazardous vector for vulnerable populations.</w:t>
      </w:r>
      <w:r w:rsidDel="00000000" w:rsidR="00000000" w:rsidRPr="00000000">
        <w:rPr>
          <w:rtl w:val="0"/>
        </w:rPr>
      </w:r>
    </w:p>
    <w:p w:rsidR="00000000" w:rsidDel="00000000" w:rsidP="00000000" w:rsidRDefault="00000000" w:rsidRPr="00000000" w14:paraId="00000008">
      <w:pPr>
        <w:keepNext w:val="1"/>
        <w:spacing w:after="160" w:before="360" w:lineRule="auto"/>
        <w:rPr/>
      </w:pPr>
      <w:r w:rsidDel="00000000" w:rsidR="00000000" w:rsidRPr="00000000">
        <w:rPr>
          <w:rFonts w:ascii="Times New Roman" w:cs="Times New Roman" w:eastAsia="Times New Roman" w:hAnsi="Times New Roman"/>
          <w:b w:val="1"/>
          <w:bCs w:val="1"/>
          <w:color w:val="1b365d"/>
          <w:sz w:val="26"/>
          <w:szCs w:val="26"/>
          <w:rtl w:val="0"/>
        </w:rPr>
        <w:t xml:space="preserve">Structural Gaps and Underexplored Territory</w:t>
      </w:r>
      <w:r w:rsidDel="00000000" w:rsidR="00000000" w:rsidRPr="00000000">
        <w:rPr>
          <w:rtl w:val="0"/>
        </w:rPr>
      </w:r>
    </w:p>
    <w:p w:rsidR="00000000" w:rsidDel="00000000" w:rsidP="00000000" w:rsidRDefault="00000000" w:rsidRPr="00000000" w14:paraId="00000009">
      <w:pPr>
        <w:spacing w:after="200" w:line="276" w:lineRule="auto"/>
        <w:jc w:val="both"/>
        <w:rPr/>
      </w:pPr>
      <w:r w:rsidDel="00000000" w:rsidR="00000000" w:rsidRPr="00000000">
        <w:rPr>
          <w:rFonts w:ascii="Times New Roman" w:cs="Times New Roman" w:eastAsia="Times New Roman" w:hAnsi="Times New Roman"/>
          <w:sz w:val="22"/>
          <w:szCs w:val="22"/>
          <w:rtl w:val="0"/>
        </w:rPr>
        <w:t xml:space="preserve">The structural deficiencies of current health informatics systems stem from a deep-seated conceptual misalignment regarding data ownership, query mechanics, and physical-to-digital linkages. The primary unaddressed challenge is the creation of an unindexed, zero-knowledge clinical data store where patient records remain completely anonymized and structurally disjointed until explicitly assembled on-demand by the patient's physical presence. Existing solutions assume that clinical data must sit in a discoverable repository, categorized by names, national identifiers, or searchable regional database keys. This assumption creates an unrecognized vulnerability: the existence of a searchable index makes patient registries high-value targets for data exploitation or targeted discrimination by oppressive regimes in conflict zones. The digital health field has largely ignored the potential for unindexed repositories due to commercial incentives that favor institutional data accumulation and administrative convenience.</w:t>
      </w:r>
      <w:r w:rsidDel="00000000" w:rsidR="00000000" w:rsidRPr="00000000">
        <w:rPr>
          <w:rtl w:val="0"/>
        </w:rPr>
      </w:r>
    </w:p>
    <w:p w:rsidR="00000000" w:rsidDel="00000000" w:rsidP="00000000" w:rsidRDefault="00000000" w:rsidRPr="00000000" w14:paraId="0000000A">
      <w:pPr>
        <w:spacing w:after="200" w:line="276" w:lineRule="auto"/>
        <w:jc w:val="both"/>
        <w:rPr/>
      </w:pPr>
      <w:r w:rsidDel="00000000" w:rsidR="00000000" w:rsidRPr="00000000">
        <w:rPr>
          <w:rFonts w:ascii="Times New Roman" w:cs="Times New Roman" w:eastAsia="Times New Roman" w:hAnsi="Times New Roman"/>
          <w:sz w:val="22"/>
          <w:szCs w:val="22"/>
          <w:rtl w:val="0"/>
        </w:rPr>
        <w:t xml:space="preserve">Furthermore, a critical operational gap exists regarding the concept of physical consent and localized data lineage. In standard FHIR implementations, clinical provenance tracks which authenticated user altered a resource (using 'Provenance' elements), but it lacks a hardware-enforced mechanism ensuring that the patient was physically present during the interaction. Existing biometrics function merely as an alternative credential or a localized 'shortcut' to query an existing, pre-computed account, rather than serving as the foundational cryptographic key required to derive and decrypt the record itself. This leaves a significant gap in true identity sovereign architectures: the inability to establish an append-only, tamper-evident timeline that requires dual physical verification—from both the handling clinician and the consenting patient—before any portion of the medical record can be read or extended. Consequently, displaced populations moving across disparate clinic networks face highly fragmented documentation, as no current system treats a patient's body as the exclusive, decentralized locus of their lifelong medical narrative.</w:t>
      </w:r>
      <w:r w:rsidDel="00000000" w:rsidR="00000000" w:rsidRPr="00000000">
        <w:rPr>
          <w:rtl w:val="0"/>
        </w:rPr>
      </w:r>
    </w:p>
    <w:p w:rsidR="00000000" w:rsidDel="00000000" w:rsidP="00000000" w:rsidRDefault="00000000" w:rsidRPr="00000000" w14:paraId="0000000B">
      <w:pPr>
        <w:keepNext w:val="1"/>
        <w:spacing w:after="160" w:before="360" w:lineRule="auto"/>
        <w:rPr/>
      </w:pPr>
      <w:r w:rsidDel="00000000" w:rsidR="00000000" w:rsidRPr="00000000">
        <w:rPr>
          <w:rFonts w:ascii="Times New Roman" w:cs="Times New Roman" w:eastAsia="Times New Roman" w:hAnsi="Times New Roman"/>
          <w:b w:val="1"/>
          <w:bCs w:val="1"/>
          <w:color w:val="1b365d"/>
          <w:sz w:val="26"/>
          <w:szCs w:val="26"/>
          <w:rtl w:val="0"/>
        </w:rPr>
        <w:t xml:space="preserve">The Proposed Idea: Rationale, Differentiation, and Conditions for Success</w:t>
      </w:r>
      <w:r w:rsidDel="00000000" w:rsidR="00000000" w:rsidRPr="00000000">
        <w:rPr>
          <w:rtl w:val="0"/>
        </w:rPr>
      </w:r>
    </w:p>
    <w:p w:rsidR="00000000" w:rsidDel="00000000" w:rsidP="00000000" w:rsidRDefault="00000000" w:rsidRPr="00000000" w14:paraId="0000000C">
      <w:pPr>
        <w:spacing w:after="200" w:line="276" w:lineRule="auto"/>
        <w:jc w:val="both"/>
        <w:rPr/>
      </w:pPr>
      <w:r w:rsidDel="00000000" w:rsidR="00000000" w:rsidRPr="00000000">
        <w:rPr>
          <w:rFonts w:ascii="Times New Roman" w:cs="Times New Roman" w:eastAsia="Times New Roman" w:hAnsi="Times New Roman"/>
          <w:sz w:val="22"/>
          <w:szCs w:val="22"/>
          <w:rtl w:val="0"/>
        </w:rPr>
        <w:t xml:space="preserve">The proposed intervention introduces a decentralized, zero-knowledge Patient Provenance Architecture that directly maps the architectural principles of open-source hardware asset tracking (the GosQAS/GDT framework) to human clinical documentation. This system shifts health informatics from centralized database lookups to an append-only ledger of encrypted FHIR resource fragments, where the patient's physical biometric signature functions as the sole cryptographic derivation tool. Under this model, an individual's essential medical history—comprising critical entries such as allergies, vaccinations, and major active chronic conditions—is stored in a globally distributed, completely unindexed repository. To access or update this timeline, an authorized clinician must execute a dual-key authentication protocol. This protocol combines the clinician's institutional credentials with an on-the-spot biometric scan from the patient. This physical contact converts the biological features into a localized cryptographic key, which temporarily decrypts and assembles the unindexed FHIR data fragments into a coherent, read-only clinical summary.</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4f6f9" w:val="clear"/>
          </w:tcPr>
          <w:p w:rsidR="00000000" w:rsidDel="00000000" w:rsidP="00000000" w:rsidRDefault="00000000" w:rsidRPr="00000000" w14:paraId="0000000D">
            <w:pPr>
              <w:spacing w:after="160" w:before="160" w:lineRule="auto"/>
              <w:ind w:left="216" w:right="216" w:firstLine="0"/>
              <w:rPr/>
            </w:pPr>
            <w:r w:rsidDel="00000000" w:rsidR="00000000" w:rsidRPr="00000000">
              <w:rPr>
                <w:rFonts w:ascii="Times New Roman" w:cs="Times New Roman" w:eastAsia="Times New Roman" w:hAnsi="Times New Roman"/>
                <w:i w:val="0"/>
                <w:iCs w:val="0"/>
                <w:sz w:val="21"/>
                <w:szCs w:val="21"/>
                <w:rtl w:val="0"/>
              </w:rPr>
              <w:t xml:space="preserve">TECHNICAL PROTOCOL WORKFLOW:</w:t>
              <w:br w:type="textWrapping"/>
              <w:t xml:space="preserve">[Patient Fingerprint Scan] + [Authorized Clinician Login]</w:t>
              <w:br w:type="textWrapping"/>
              <w:t xml:space="preserve">    │</w:t>
              <w:br w:type="textWrapping"/>
              <w:t xml:space="preserve">    ├──&gt; Generates On-the-Fly Cryptographic Assembly Key</w:t>
              <w:br w:type="textWrapping"/>
              <w:t xml:space="preserve">    │</w:t>
              <w:br w:type="textWrapping"/>
              <w:t xml:space="preserve">    └──&gt; Queries Distributed, Unindexed Cloud Repository</w:t>
              <w:br w:type="textWrapping"/>
              <w:t xml:space="preserve">            │</w:t>
              <w:br w:type="textWrapping"/>
              <w:t xml:space="preserve">            └──&gt; Fetches &amp; Decrypts Disjointed Encrypted FHIR Fragments</w:t>
              <w:br w:type="textWrapping"/>
              <w:t xml:space="preserve">                    │</w:t>
              <w:br w:type="textWrapping"/>
              <w:t xml:space="preserve">                    └──&gt; Compiles Ephemeral Clinical Summary Timeline (Read/Append Only)</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200" w:line="276" w:lineRule="auto"/>
        <w:rPr/>
      </w:pPr>
      <w:r w:rsidDel="00000000" w:rsidR="00000000" w:rsidRPr="00000000">
        <w:rPr>
          <w:rFonts w:ascii="Times New Roman" w:cs="Times New Roman" w:eastAsia="Times New Roman" w:hAnsi="Times New Roman"/>
          <w:sz w:val="22"/>
          <w:szCs w:val="22"/>
          <w:rtl w:val="0"/>
        </w:rPr>
        <w:t xml:space="preserve">To explicitly contrast this paradigm shift against contemporary market solutions, the underlying operational and systemic changes are outlined below:</w:t>
      </w:r>
      <w:r w:rsidDel="00000000" w:rsidR="00000000" w:rsidRPr="00000000">
        <w:rPr>
          <w:rtl w:val="0"/>
        </w:rPr>
      </w:r>
    </w:p>
    <w:tbl>
      <w:tblPr>
        <w:tblStyle w:val="Table2"/>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color w:val="ffffff"/>
                <w:sz w:val="20"/>
                <w:szCs w:val="20"/>
                <w:rtl w:val="0"/>
              </w:rPr>
              <w:t xml:space="preserve">Intent Element</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color w:val="ffffff"/>
                <w:sz w:val="20"/>
                <w:szCs w:val="20"/>
                <w:rtl w:val="0"/>
              </w:rPr>
              <w:t xml:space="preserve">Standard Enterprise Approach (OpenSRP / Simprints)</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color w:val="ffffff"/>
                <w:sz w:val="20"/>
                <w:szCs w:val="20"/>
                <w:rtl w:val="0"/>
              </w:rPr>
              <w:t xml:space="preserve">The GosQAS / Patient Provenance Approach</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0"/>
                <w:szCs w:val="20"/>
                <w:rtl w:val="0"/>
              </w:rPr>
              <w:t xml:space="preserve">Data Storage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20"/>
                <w:szCs w:val="20"/>
                <w:rtl w:val="0"/>
              </w:rPr>
              <w:t xml:space="preserve">Centralized, searchable patient index.</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0"/>
                <w:szCs w:val="20"/>
                <w:rtl w:val="0"/>
              </w:rPr>
              <w:t xml:space="preserve">Unindexed, encrypted, fragmented objects.</w:t>
            </w:r>
            <w:r w:rsidDel="00000000" w:rsidR="00000000" w:rsidRPr="00000000">
              <w:rPr>
                <w:rtl w:val="0"/>
              </w:rPr>
            </w:r>
          </w:p>
        </w:tc>
      </w:tr>
      <w:tr>
        <w:trPr>
          <w:cantSplit w:val="0"/>
          <w:tblHeader w:val="0"/>
        </w:trPr>
        <w:tc>
          <w:tcPr>
            <w:shd w:fill="f4f6f9"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20"/>
                <w:szCs w:val="20"/>
                <w:rtl w:val="0"/>
              </w:rPr>
              <w:t xml:space="preserve">Biometric Role</w:t>
            </w:r>
            <w:r w:rsidDel="00000000" w:rsidR="00000000" w:rsidRPr="00000000">
              <w:rPr>
                <w:rtl w:val="0"/>
              </w:rPr>
            </w:r>
          </w:p>
        </w:tc>
        <w:tc>
          <w:tcPr>
            <w:shd w:fill="f4f6f9"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0"/>
                <w:szCs w:val="20"/>
                <w:rtl w:val="0"/>
              </w:rPr>
              <w:t xml:space="preserve">Identifies the patient to pull up a pre-existing account.</w:t>
            </w:r>
            <w:r w:rsidDel="00000000" w:rsidR="00000000" w:rsidRPr="00000000">
              <w:rPr>
                <w:rtl w:val="0"/>
              </w:rPr>
            </w:r>
          </w:p>
        </w:tc>
        <w:tc>
          <w:tcPr>
            <w:shd w:fill="f4f6f9"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0"/>
                <w:szCs w:val="20"/>
                <w:rtl w:val="0"/>
              </w:rPr>
              <w:t xml:space="preserve">Serves as the actual cryptographic key to assemble/decrypt the record.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20"/>
                <w:szCs w:val="20"/>
                <w:rtl w:val="0"/>
              </w:rPr>
              <w:t xml:space="preserve">Consent Model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0"/>
                <w:szCs w:val="20"/>
                <w:rtl w:val="0"/>
              </w:rPr>
              <w:t xml:space="preserve">Administrative (tracked via logs or forms).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0"/>
                <w:szCs w:val="20"/>
                <w:rtl w:val="0"/>
              </w:rPr>
              <w:t xml:space="preserve">Hardware-enforced (impossible to view data without physical finger presence).</w:t>
            </w:r>
            <w:r w:rsidDel="00000000" w:rsidR="00000000" w:rsidRPr="00000000">
              <w:rPr>
                <w:rtl w:val="0"/>
              </w:rPr>
            </w:r>
          </w:p>
        </w:tc>
      </w:tr>
      <w:tr>
        <w:trPr>
          <w:cantSplit w:val="0"/>
          <w:tblHeader w:val="0"/>
        </w:trPr>
        <w:tc>
          <w:tcPr>
            <w:shd w:fill="f4f6f9"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1"/>
                <w:bCs w:val="1"/>
                <w:sz w:val="20"/>
                <w:szCs w:val="20"/>
                <w:rtl w:val="0"/>
              </w:rPr>
              <w:t xml:space="preserve">Vulnerability</w:t>
            </w:r>
            <w:r w:rsidDel="00000000" w:rsidR="00000000" w:rsidRPr="00000000">
              <w:rPr>
                <w:rtl w:val="0"/>
              </w:rPr>
            </w:r>
          </w:p>
        </w:tc>
        <w:tc>
          <w:tcPr>
            <w:shd w:fill="f4f6f9"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0"/>
                <w:szCs w:val="20"/>
                <w:rtl w:val="0"/>
              </w:rPr>
              <w:t xml:space="preserve">Server breach exposes the entire patient population registry.</w:t>
            </w:r>
            <w:r w:rsidDel="00000000" w:rsidR="00000000" w:rsidRPr="00000000">
              <w:rPr>
                <w:rtl w:val="0"/>
              </w:rPr>
            </w:r>
          </w:p>
        </w:tc>
        <w:tc>
          <w:tcPr>
            <w:shd w:fill="f4f6f9"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0"/>
                <w:szCs w:val="20"/>
                <w:rtl w:val="0"/>
              </w:rPr>
              <w:t xml:space="preserve">Server breach exposes only unreadable, unlinked encrypted noise.</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200" w:line="276" w:lineRule="auto"/>
        <w:jc w:val="both"/>
        <w:rPr/>
      </w:pPr>
      <w:r w:rsidDel="00000000" w:rsidR="00000000" w:rsidRPr="00000000">
        <w:rPr>
          <w:rFonts w:ascii="Times New Roman" w:cs="Times New Roman" w:eastAsia="Times New Roman" w:hAnsi="Times New Roman"/>
          <w:sz w:val="22"/>
          <w:szCs w:val="22"/>
          <w:rtl w:val="0"/>
        </w:rPr>
        <w:t xml:space="preserve">This architecture differs markedly from current offerings by eliminating the centralized directory entirely. By mapping the cryptographic hash of a fingerprint directly to an isolated, unlinked FHIR patient identifier attribute, the system prevents any form of directory-based searching, administrative browsing, or unauthorized data exposure. If the host repository server is compromised or seized, the data remains mathematically indistinguishable from background white noise, as there is no central lookup index, patient registry, or relational key to exploit. This design relies on the established security of zero-knowledge architectures, treating the patient's physical body as the immutable anchor of data lineage. This ensures that clinical entries cannot be retroactively altered, deleted, or restricted by third-party hospital administrations, insurance intermediaries, or fluctuating state structures.</w:t>
      </w:r>
      <w:r w:rsidDel="00000000" w:rsidR="00000000" w:rsidRPr="00000000">
        <w:rPr>
          <w:rtl w:val="0"/>
        </w:rPr>
      </w:r>
    </w:p>
    <w:p w:rsidR="00000000" w:rsidDel="00000000" w:rsidP="00000000" w:rsidRDefault="00000000" w:rsidRPr="00000000" w14:paraId="00000021">
      <w:pPr>
        <w:spacing w:after="20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practical success of this architecture depends on several strict technical and operational conditions. First, it requires highly precise, ruggedized biometric capture hardware capable of operating reliably amidst skin abrasions, thermal variations, and environmental contaminants common in frontline humanitarian deployments. Second, the system introduces a severe, unmitigated risk of permanent data loss: because the architecture is truly zero-knowledge, any permanent physical trauma or scarring to the patient's biometric reference point renders the historical medical file permanently unrecoverable. Consequently, the framework must implement a secure, multi-finger fallback registration protocol during initial clinical enrollment. Finally, while the system's append-only nature provides absolute data integrity and provenance tracking, it runs directly into structural regulatory challenges in regions governed by strict right-to-erase data deletion laws, such as the European Union's GDPR. Therefore, this architecture is optimized not as a wholesale replacement for standard domestic civilian hospital networks, but as a specialized infrastructure designed for high-stakes humanitarian engineering, border crises, cross-agency disaster response, and frontline conflict environments where political instability and extreme population displacement make conventional digital health infrastructure non-viable.</w:t>
      </w:r>
    </w:p>
    <w:p w:rsidR="00000000" w:rsidDel="00000000" w:rsidP="00000000" w:rsidRDefault="00000000" w:rsidRPr="00000000" w14:paraId="00000022">
      <w:pPr>
        <w:spacing w:after="200" w:lineRule="auto"/>
        <w:rPr/>
      </w:pPr>
      <w:r w:rsidDel="00000000" w:rsidR="00000000" w:rsidRPr="00000000">
        <w:rPr>
          <w:b w:val="1"/>
          <w:bCs w:val="1"/>
          <w:color w:val="1b365d"/>
          <w:sz w:val="26"/>
          <w:szCs w:val="26"/>
          <w:rtl w:val="0"/>
        </w:rPr>
        <w:t xml:space="preserve">Competitive Landscape and Open-Source Differentiation</w:t>
      </w:r>
      <w:r w:rsidDel="00000000" w:rsidR="00000000" w:rsidRPr="00000000">
        <w:rPr>
          <w:rtl w:val="0"/>
        </w:rPr>
      </w:r>
    </w:p>
    <w:p w:rsidR="00000000" w:rsidDel="00000000" w:rsidP="00000000" w:rsidRDefault="00000000" w:rsidRPr="00000000" w14:paraId="00000023">
      <w:pPr>
        <w:spacing w:after="200" w:lineRule="auto"/>
        <w:jc w:val="both"/>
        <w:rPr/>
      </w:pPr>
      <w:r w:rsidDel="00000000" w:rsidR="00000000" w:rsidRPr="00000000">
        <w:rPr>
          <w:rtl w:val="0"/>
        </w:rPr>
        <w:t xml:space="preserve">A rigorous survey of the contemporary open-source digital health ecosystem confirms that while the individual technical primitives underlying this architecture are well-represented in existing repositories, no open-source implementation combines them into the specific operational paradigm proposed here. Decentralized electronic health record systems leveraging Ethereum and IPFS — such as BlockMRS — provide patient data ownership and tamper-evident storage, yet remain fundamentally anchored to a searchable, centralized patient index that a biometric credential merely unlocks. The OpenPharma Blockchain on FHIR framework similarly integrates FHIR interoperability, blockchain provenance, and biometric validation, but retains a discoverable patient registry as its foundational query mechanism. Concurrently, Simprints — the preeminent open-source biometric identification platform for humanitarian health delivery — functions as an identity resolver that maps a fingerprint scan to a pre-existing, named account record rather than serving as the cryptographic derivation key for an unindexed data store. Academic research into Zero-Knowledge Proof authentication on blockchain and Self-Sovereign Identity frameworks demonstrates theoretical alignment with patient-sovereign data ownership, but no published implementation applies these primitives to fragmented, unindexed FHIR resource assembly enforced by physical dual-consent in frontline humanitarian deployments. The foundational GosQAS Global Distributed Tracking platform, from which this architecture directly derives its append-only provenance logic, is itself open source; however, its application domain remains hardware asset tracking and has not been formally adapted to human clinical documentation. The precise architectural novelty of this proposal — wherein the patient's biometric hash functions not as an authentication shortcut to a discoverable registry, but as the sole cryptographic key capable of assembling and decrypting structurally disjointed FHIR fragments from a completely unindexed repository — represents a gap in the current open-source landscape that no existing framework, GitHub repository, or published implementation has addressed.</w:t>
      </w:r>
    </w:p>
    <w:p w:rsidR="00000000" w:rsidDel="00000000" w:rsidP="00000000" w:rsidRDefault="00000000" w:rsidRPr="00000000" w14:paraId="00000024">
      <w:pPr>
        <w:spacing w:after="200" w:line="276" w:lineRule="auto"/>
        <w:rPr/>
      </w:pPr>
      <w:r w:rsidDel="00000000" w:rsidR="00000000" w:rsidRPr="00000000">
        <w:rPr>
          <w:rtl w:val="0"/>
        </w:rPr>
      </w:r>
    </w:p>
    <w:p w:rsidR="00000000" w:rsidDel="00000000" w:rsidP="00000000" w:rsidRDefault="00000000" w:rsidRPr="00000000" w14:paraId="00000025">
      <w:pPr>
        <w:spacing w:after="200" w:line="276" w:lineRule="auto"/>
        <w:rPr/>
      </w:pPr>
      <w:r w:rsidDel="00000000" w:rsidR="00000000" w:rsidRPr="00000000">
        <w:rPr>
          <w:rtl w:val="0"/>
        </w:rPr>
      </w:r>
    </w:p>
    <w:p w:rsidR="00000000" w:rsidDel="00000000" w:rsidP="00000000" w:rsidRDefault="00000000" w:rsidRPr="00000000" w14:paraId="00000026">
      <w:pPr>
        <w:spacing w:after="20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aGVVA7dRXgqjLJ0TrVI7jacdA==">CgMxLjA4AHIhMUxRZ3AxRWFVWUgzXzkyTEp4ZUc2TWtoWjFFZGVDenJS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