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OpenMRS vs. the Proposed Patient Provenance Architecture</w:t>
      </w:r>
    </w:p>
    <w:p>
      <w:pPr>
        <w:spacing w:after="220"/>
      </w:pPr>
      <w:r>
        <w:rPr>
          <w:i/>
          <w:iCs/>
          <w:color w:val="595959"/>
          <w:sz w:val="20"/>
          <w:szCs w:val="20"/>
        </w:rPr>
        <w:t xml:space="preserve">A comparison of the incumbent open-source EHR standard against the zero-knowledge, biometric-keyed architecture described in Project #85.</w:t>
      </w:r>
    </w:p>
    <w:p>
      <w:pPr>
        <w:pStyle w:val="Heading2"/>
        <w:spacing w:after="120" w:before="240"/>
      </w:pPr>
      <w:r>
        <w:rPr>
          <w:b/>
          <w:bCs/>
          <w:color w:val="1F3864"/>
          <w:sz w:val="24"/>
          <w:szCs w:val="24"/>
        </w:rPr>
        <w:t xml:space="preserve">The short version</w:t>
      </w:r>
    </w:p>
    <w:p>
      <w:pPr>
        <w:spacing w:after="200" w:line="300"/>
      </w:pPr>
      <w:r>
        <w:rPr>
          <w:sz w:val="22"/>
          <w:szCs w:val="22"/>
        </w:rPr>
        <w:t xml:space="preserve">OpenMRS and the proposed architecture aren't really competing to solve the same problem. OpenMRS is built to give institutions a reliable, interoperable record of every patient they treat over time. The proposal is built to give the patient's own body a record that no institution — including a hostile or collapsed one — can ever read, hold, or lose. They sit on opposite ends of a spectrum running from institutional continuity to patient-sovereign survivability, and the proposal itself acknowledges this: it positions itself as a complement for frontline and conflict-zone deployments, not a replacement for ordinary hospital infrastructure.</w:t>
      </w:r>
    </w:p>
    <w:p>
      <w:pPr>
        <w:pStyle w:val="Heading2"/>
        <w:spacing w:after="120" w:before="240"/>
      </w:pPr>
      <w:r>
        <w:rPr>
          <w:b/>
          <w:bCs/>
          <w:color w:val="1F3864"/>
          <w:sz w:val="24"/>
          <w:szCs w:val="24"/>
        </w:rPr>
        <w:t xml:space="preserve">Where they actually diverge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850"/>
        <w:gridCol w:w="3850"/>
      </w:tblGrid>
      <w:tr>
        <w:tc>
          <w:tcPr>
            <w:tcW w:type="dxa" w:w="1900"/>
            <w:shd w:fill="1F3864" w:val="clear"/>
            <w:tcMar>
              <w:top w:type="dxa" w:w="100"/>
              <w:left w:type="dxa" w:w="120"/>
              <w:bottom w:type="dxa" w:w="100"/>
              <w:right w:type="dxa" w:w="120"/>
            </w:tcMar>
            <w:vAlign w:val="center"/>
          </w:tcPr>
          <w:p>
            <w:r>
              <w:rPr>
                <w:b/>
                <w:bCs/>
                <w:color w:val="FFFFFF"/>
                <w:sz w:val="20"/>
                <w:szCs w:val="20"/>
              </w:rPr>
              <w:t xml:space="preserve">Aspect</w:t>
            </w:r>
          </w:p>
        </w:tc>
        <w:tc>
          <w:tcPr>
            <w:tcW w:type="dxa" w:w="3850"/>
            <w:shd w:fill="1F3864" w:val="clear"/>
            <w:tcMar>
              <w:top w:type="dxa" w:w="100"/>
              <w:left w:type="dxa" w:w="120"/>
              <w:bottom w:type="dxa" w:w="100"/>
              <w:right w:type="dxa" w:w="120"/>
            </w:tcMar>
            <w:vAlign w:val="center"/>
          </w:tcPr>
          <w:p>
            <w:r>
              <w:rPr>
                <w:b/>
                <w:bCs/>
                <w:color w:val="FFFFFF"/>
                <w:sz w:val="20"/>
                <w:szCs w:val="20"/>
              </w:rPr>
              <w:t xml:space="preserve">OpenMRS</w:t>
            </w:r>
          </w:p>
        </w:tc>
        <w:tc>
          <w:tcPr>
            <w:tcW w:type="dxa" w:w="3850"/>
            <w:shd w:fill="1F3864" w:val="clear"/>
            <w:tcMar>
              <w:top w:type="dxa" w:w="100"/>
              <w:left w:type="dxa" w:w="120"/>
              <w:bottom w:type="dxa" w:w="100"/>
              <w:right w:type="dxa" w:w="120"/>
            </w:tcMar>
            <w:vAlign w:val="center"/>
          </w:tcPr>
          <w:p>
            <w:r>
              <w:rPr>
                <w:b/>
                <w:bCs/>
                <w:color w:val="FFFFFF"/>
                <w:sz w:val="20"/>
                <w:szCs w:val="20"/>
              </w:rPr>
              <w:t xml:space="preserve">Proposed Patient Provenance Architecture</w:t>
            </w:r>
          </w:p>
        </w:tc>
      </w:tr>
      <w:tr>
        <w:tc>
          <w:tcPr>
            <w:tcW w:type="dxa" w:w="1900"/>
            <w:tcMar>
              <w:top w:type="dxa" w:w="100"/>
              <w:left w:type="dxa" w:w="120"/>
              <w:bottom w:type="dxa" w:w="100"/>
              <w:right w:type="dxa" w:w="120"/>
            </w:tcMar>
            <w:vAlign w:val="center"/>
          </w:tcPr>
          <w:p>
            <w:r>
              <w:rPr>
                <w:b w:val="false"/>
                <w:bCs w:val="false"/>
                <w:color w:val="000000"/>
                <w:sz w:val="20"/>
                <w:szCs w:val="20"/>
              </w:rPr>
              <w:t xml:space="preserve">Data model</w:t>
            </w:r>
          </w:p>
        </w:tc>
        <w:tc>
          <w:tcPr>
            <w:tcW w:type="dxa" w:w="3850"/>
            <w:tcMar>
              <w:top w:type="dxa" w:w="100"/>
              <w:left w:type="dxa" w:w="120"/>
              <w:bottom w:type="dxa" w:w="100"/>
              <w:right w:type="dxa" w:w="120"/>
            </w:tcMar>
            <w:vAlign w:val="center"/>
          </w:tcPr>
          <w:p>
            <w:r>
              <w:rPr>
                <w:b w:val="false"/>
                <w:bCs w:val="false"/>
                <w:color w:val="000000"/>
                <w:sz w:val="20"/>
                <w:szCs w:val="20"/>
              </w:rPr>
              <w:t xml:space="preserve">Centralized relational database (MySQL) built on OpenMRS's own internal data model; FHIR is layered on top as a translation, not the native store.</w:t>
            </w:r>
          </w:p>
        </w:tc>
        <w:tc>
          <w:tcPr>
            <w:tcW w:type="dxa" w:w="3850"/>
            <w:tcMar>
              <w:top w:type="dxa" w:w="100"/>
              <w:left w:type="dxa" w:w="120"/>
              <w:bottom w:type="dxa" w:w="100"/>
              <w:right w:type="dxa" w:w="120"/>
            </w:tcMar>
            <w:vAlign w:val="center"/>
          </w:tcPr>
          <w:p>
            <w:r>
              <w:rPr>
                <w:b w:val="false"/>
                <w:bCs w:val="false"/>
                <w:color w:val="000000"/>
                <w:sz w:val="20"/>
                <w:szCs w:val="20"/>
              </w:rPr>
              <w:t xml:space="preserve">No central database exists. Records live only as encrypted, unindexed fragments spread across a distributed repository.</w:t>
            </w:r>
          </w:p>
        </w:tc>
      </w:tr>
      <w:tr>
        <w:tc>
          <w:tcPr>
            <w:tcW w:type="dxa" w:w="1900"/>
            <w:shd w:fill="E8EEF4" w:val="clear"/>
            <w:tcMar>
              <w:top w:type="dxa" w:w="100"/>
              <w:left w:type="dxa" w:w="120"/>
              <w:bottom w:type="dxa" w:w="100"/>
              <w:right w:type="dxa" w:w="120"/>
            </w:tcMar>
            <w:vAlign w:val="center"/>
          </w:tcPr>
          <w:p>
            <w:r>
              <w:rPr>
                <w:b w:val="false"/>
                <w:bCs w:val="false"/>
                <w:color w:val="000000"/>
                <w:sz w:val="20"/>
                <w:szCs w:val="20"/>
              </w:rPr>
              <w:t xml:space="preserve">Relationship to FHIR</w:t>
            </w:r>
          </w:p>
        </w:tc>
        <w:tc>
          <w:tcPr>
            <w:tcW w:type="dxa" w:w="3850"/>
            <w:shd w:fill="E8EEF4" w:val="clear"/>
            <w:tcMar>
              <w:top w:type="dxa" w:w="100"/>
              <w:left w:type="dxa" w:w="120"/>
              <w:bottom w:type="dxa" w:w="100"/>
              <w:right w:type="dxa" w:w="120"/>
            </w:tcMar>
            <w:vAlign w:val="center"/>
          </w:tcPr>
          <w:p>
            <w:r>
              <w:rPr>
                <w:b w:val="false"/>
                <w:bCs w:val="false"/>
                <w:color w:val="000000"/>
                <w:sz w:val="20"/>
                <w:szCs w:val="20"/>
              </w:rPr>
              <w:t xml:space="preserve">The FHIR2 module translates OpenMRS's internal model into FHIR resources and exposes a REST API for import/export — FHIR sits above the real system of record.</w:t>
            </w:r>
          </w:p>
        </w:tc>
        <w:tc>
          <w:tcPr>
            <w:tcW w:type="dxa" w:w="3850"/>
            <w:shd w:fill="E8EEF4" w:val="clear"/>
            <w:tcMar>
              <w:top w:type="dxa" w:w="100"/>
              <w:left w:type="dxa" w:w="120"/>
              <w:bottom w:type="dxa" w:w="100"/>
              <w:right w:type="dxa" w:w="120"/>
            </w:tcMar>
            <w:vAlign w:val="center"/>
          </w:tcPr>
          <w:p>
            <w:r>
              <w:rPr>
                <w:b w:val="false"/>
                <w:bCs w:val="false"/>
                <w:color w:val="000000"/>
                <w:sz w:val="20"/>
                <w:szCs w:val="20"/>
              </w:rPr>
              <w:t xml:space="preserve">FHIR resources are the system of record itself, but split into disjointed encrypted pieces that mean nothing until physically reassembled.</w:t>
            </w:r>
          </w:p>
        </w:tc>
      </w:tr>
      <w:tr>
        <w:tc>
          <w:tcPr>
            <w:tcW w:type="dxa" w:w="1900"/>
            <w:tcMar>
              <w:top w:type="dxa" w:w="100"/>
              <w:left w:type="dxa" w:w="120"/>
              <w:bottom w:type="dxa" w:w="100"/>
              <w:right w:type="dxa" w:w="120"/>
            </w:tcMar>
            <w:vAlign w:val="center"/>
          </w:tcPr>
          <w:p>
            <w:r>
              <w:rPr>
                <w:b w:val="false"/>
                <w:bCs w:val="false"/>
                <w:color w:val="000000"/>
                <w:sz w:val="20"/>
                <w:szCs w:val="20"/>
              </w:rPr>
              <w:t xml:space="preserve">Identity and lookup</w:t>
            </w:r>
          </w:p>
        </w:tc>
        <w:tc>
          <w:tcPr>
            <w:tcW w:type="dxa" w:w="3850"/>
            <w:tcMar>
              <w:top w:type="dxa" w:w="100"/>
              <w:left w:type="dxa" w:w="120"/>
              <w:bottom w:type="dxa" w:w="100"/>
              <w:right w:type="dxa" w:w="120"/>
            </w:tcMar>
            <w:vAlign w:val="center"/>
          </w:tcPr>
          <w:p>
            <w:r>
              <w:rPr>
                <w:b w:val="false"/>
                <w:bCs w:val="false"/>
                <w:color w:val="000000"/>
                <w:sz w:val="20"/>
                <w:szCs w:val="20"/>
              </w:rPr>
              <w:t xml:space="preserve">Patients are found by name, ID, or demographic search against a central index — the entire point of an EHR.</w:t>
            </w:r>
          </w:p>
        </w:tc>
        <w:tc>
          <w:tcPr>
            <w:tcW w:type="dxa" w:w="3850"/>
            <w:tcMar>
              <w:top w:type="dxa" w:w="100"/>
              <w:left w:type="dxa" w:w="120"/>
              <w:bottom w:type="dxa" w:w="100"/>
              <w:right w:type="dxa" w:w="120"/>
            </w:tcMar>
            <w:vAlign w:val="center"/>
          </w:tcPr>
          <w:p>
            <w:r>
              <w:rPr>
                <w:b w:val="false"/>
                <w:bCs w:val="false"/>
                <w:color w:val="000000"/>
                <w:sz w:val="20"/>
                <w:szCs w:val="20"/>
              </w:rPr>
              <w:t xml:space="preserve">There is no index to search. A record can only be assembled on the spot; it can never be “found.”</w:t>
            </w:r>
          </w:p>
        </w:tc>
      </w:tr>
      <w:tr>
        <w:tc>
          <w:tcPr>
            <w:tcW w:type="dxa" w:w="1900"/>
            <w:shd w:fill="E8EEF4" w:val="clear"/>
            <w:tcMar>
              <w:top w:type="dxa" w:w="100"/>
              <w:left w:type="dxa" w:w="120"/>
              <w:bottom w:type="dxa" w:w="100"/>
              <w:right w:type="dxa" w:w="120"/>
            </w:tcMar>
            <w:vAlign w:val="center"/>
          </w:tcPr>
          <w:p>
            <w:r>
              <w:rPr>
                <w:b w:val="false"/>
                <w:bCs w:val="false"/>
                <w:color w:val="000000"/>
                <w:sz w:val="20"/>
                <w:szCs w:val="20"/>
              </w:rPr>
              <w:t xml:space="preserve">Access control</w:t>
            </w:r>
          </w:p>
        </w:tc>
        <w:tc>
          <w:tcPr>
            <w:tcW w:type="dxa" w:w="3850"/>
            <w:shd w:fill="E8EEF4" w:val="clear"/>
            <w:tcMar>
              <w:top w:type="dxa" w:w="100"/>
              <w:left w:type="dxa" w:w="120"/>
              <w:bottom w:type="dxa" w:w="100"/>
              <w:right w:type="dxa" w:w="120"/>
            </w:tcMar>
            <w:vAlign w:val="center"/>
          </w:tcPr>
          <w:p>
            <w:r>
              <w:rPr>
                <w:b w:val="false"/>
                <w:bCs w:val="false"/>
                <w:color w:val="000000"/>
                <w:sz w:val="20"/>
                <w:szCs w:val="20"/>
              </w:rPr>
              <w:t xml:space="preserve">Role-based administrative logins govern who can view or edit records.</w:t>
            </w:r>
          </w:p>
        </w:tc>
        <w:tc>
          <w:tcPr>
            <w:tcW w:type="dxa" w:w="3850"/>
            <w:shd w:fill="E8EEF4" w:val="clear"/>
            <w:tcMar>
              <w:top w:type="dxa" w:w="100"/>
              <w:left w:type="dxa" w:w="120"/>
              <w:bottom w:type="dxa" w:w="100"/>
              <w:right w:type="dxa" w:w="120"/>
            </w:tcMar>
            <w:vAlign w:val="center"/>
          </w:tcPr>
          <w:p>
            <w:r>
              <w:rPr>
                <w:b w:val="false"/>
                <w:bCs w:val="false"/>
                <w:color w:val="000000"/>
                <w:sz w:val="20"/>
                <w:szCs w:val="20"/>
              </w:rPr>
              <w:t xml:space="preserve">A dual key: clinician credentials plus the patient's live fingerprint scan, required together. Neither one alone unlocks anything.</w:t>
            </w:r>
          </w:p>
        </w:tc>
      </w:tr>
      <w:tr>
        <w:tc>
          <w:tcPr>
            <w:tcW w:type="dxa" w:w="1900"/>
            <w:tcMar>
              <w:top w:type="dxa" w:w="100"/>
              <w:left w:type="dxa" w:w="120"/>
              <w:bottom w:type="dxa" w:w="100"/>
              <w:right w:type="dxa" w:w="120"/>
            </w:tcMar>
            <w:vAlign w:val="center"/>
          </w:tcPr>
          <w:p>
            <w:r>
              <w:rPr>
                <w:b w:val="false"/>
                <w:bCs w:val="false"/>
                <w:color w:val="000000"/>
                <w:sz w:val="20"/>
                <w:szCs w:val="20"/>
              </w:rPr>
              <w:t xml:space="preserve">Consent model</w:t>
            </w:r>
          </w:p>
        </w:tc>
        <w:tc>
          <w:tcPr>
            <w:tcW w:type="dxa" w:w="3850"/>
            <w:tcMar>
              <w:top w:type="dxa" w:w="100"/>
              <w:left w:type="dxa" w:w="120"/>
              <w:bottom w:type="dxa" w:w="100"/>
              <w:right w:type="dxa" w:w="120"/>
            </w:tcMar>
            <w:vAlign w:val="center"/>
          </w:tcPr>
          <w:p>
            <w:r>
              <w:rPr>
                <w:b w:val="false"/>
                <w:bCs w:val="false"/>
                <w:color w:val="000000"/>
                <w:sz w:val="20"/>
                <w:szCs w:val="20"/>
              </w:rPr>
              <w:t xml:space="preserve">Administrative — access is logged and auditable after the fact.</w:t>
            </w:r>
          </w:p>
        </w:tc>
        <w:tc>
          <w:tcPr>
            <w:tcW w:type="dxa" w:w="3850"/>
            <w:tcMar>
              <w:top w:type="dxa" w:w="100"/>
              <w:left w:type="dxa" w:w="120"/>
              <w:bottom w:type="dxa" w:w="100"/>
              <w:right w:type="dxa" w:w="120"/>
            </w:tcMar>
            <w:vAlign w:val="center"/>
          </w:tcPr>
          <w:p>
            <w:r>
              <w:rPr>
                <w:b w:val="false"/>
                <w:bCs w:val="false"/>
                <w:color w:val="000000"/>
                <w:sz w:val="20"/>
                <w:szCs w:val="20"/>
              </w:rPr>
              <w:t xml:space="preserve">Hardware-enforced — decryption is physically impossible without the patient's finger present at that exact moment.</w:t>
            </w:r>
          </w:p>
        </w:tc>
      </w:tr>
      <w:tr>
        <w:tc>
          <w:tcPr>
            <w:tcW w:type="dxa" w:w="1900"/>
            <w:shd w:fill="E8EEF4" w:val="clear"/>
            <w:tcMar>
              <w:top w:type="dxa" w:w="100"/>
              <w:left w:type="dxa" w:w="120"/>
              <w:bottom w:type="dxa" w:w="100"/>
              <w:right w:type="dxa" w:w="120"/>
            </w:tcMar>
            <w:vAlign w:val="center"/>
          </w:tcPr>
          <w:p>
            <w:r>
              <w:rPr>
                <w:b w:val="false"/>
                <w:bCs w:val="false"/>
                <w:color w:val="000000"/>
                <w:sz w:val="20"/>
                <w:szCs w:val="20"/>
              </w:rPr>
              <w:t xml:space="preserve">Breach exposure</w:t>
            </w:r>
          </w:p>
        </w:tc>
        <w:tc>
          <w:tcPr>
            <w:tcW w:type="dxa" w:w="3850"/>
            <w:shd w:fill="E8EEF4" w:val="clear"/>
            <w:tcMar>
              <w:top w:type="dxa" w:w="100"/>
              <w:left w:type="dxa" w:w="120"/>
              <w:bottom w:type="dxa" w:w="100"/>
              <w:right w:type="dxa" w:w="120"/>
            </w:tcMar>
            <w:vAlign w:val="center"/>
          </w:tcPr>
          <w:p>
            <w:r>
              <w:rPr>
                <w:b w:val="false"/>
                <w:bCs w:val="false"/>
                <w:color w:val="000000"/>
                <w:sz w:val="20"/>
                <w:szCs w:val="20"/>
              </w:rPr>
              <w:t xml:space="preserve">A server breach exposes the real, linked patient registry: names, diagnoses, full history.</w:t>
            </w:r>
          </w:p>
        </w:tc>
        <w:tc>
          <w:tcPr>
            <w:tcW w:type="dxa" w:w="3850"/>
            <w:shd w:fill="E8EEF4" w:val="clear"/>
            <w:tcMar>
              <w:top w:type="dxa" w:w="100"/>
              <w:left w:type="dxa" w:w="120"/>
              <w:bottom w:type="dxa" w:w="100"/>
              <w:right w:type="dxa" w:w="120"/>
            </w:tcMar>
            <w:vAlign w:val="center"/>
          </w:tcPr>
          <w:p>
            <w:r>
              <w:rPr>
                <w:b w:val="false"/>
                <w:bCs w:val="false"/>
                <w:color w:val="000000"/>
                <w:sz w:val="20"/>
                <w:szCs w:val="20"/>
              </w:rPr>
              <w:t xml:space="preserve">A breach exposes only encrypted noise with no index or linkage — nothing coherent to steal.</w:t>
            </w:r>
          </w:p>
        </w:tc>
      </w:tr>
      <w:tr>
        <w:tc>
          <w:tcPr>
            <w:tcW w:type="dxa" w:w="1900"/>
            <w:tcMar>
              <w:top w:type="dxa" w:w="100"/>
              <w:left w:type="dxa" w:w="120"/>
              <w:bottom w:type="dxa" w:w="100"/>
              <w:right w:type="dxa" w:w="120"/>
            </w:tcMar>
            <w:vAlign w:val="center"/>
          </w:tcPr>
          <w:p>
            <w:r>
              <w:rPr>
                <w:b w:val="false"/>
                <w:bCs w:val="false"/>
                <w:color w:val="000000"/>
                <w:sz w:val="20"/>
                <w:szCs w:val="20"/>
              </w:rPr>
              <w:t xml:space="preserve">Interoperability goal</w:t>
            </w:r>
          </w:p>
        </w:tc>
        <w:tc>
          <w:tcPr>
            <w:tcW w:type="dxa" w:w="3850"/>
            <w:tcMar>
              <w:top w:type="dxa" w:w="100"/>
              <w:left w:type="dxa" w:w="120"/>
              <w:bottom w:type="dxa" w:w="100"/>
              <w:right w:type="dxa" w:w="120"/>
            </w:tcMar>
            <w:vAlign w:val="center"/>
          </w:tcPr>
          <w:p>
            <w:r>
              <w:rPr>
                <w:b w:val="false"/>
                <w:bCs w:val="false"/>
                <w:color w:val="000000"/>
                <w:sz w:val="20"/>
                <w:szCs w:val="20"/>
              </w:rPr>
              <w:t xml:space="preserve">Built for institution-to-institution exchange: hospitals, ministries of health, and partner systems querying and sharing structured data.</w:t>
            </w:r>
          </w:p>
        </w:tc>
        <w:tc>
          <w:tcPr>
            <w:tcW w:type="dxa" w:w="3850"/>
            <w:tcMar>
              <w:top w:type="dxa" w:w="100"/>
              <w:left w:type="dxa" w:w="120"/>
              <w:bottom w:type="dxa" w:w="100"/>
              <w:right w:type="dxa" w:w="120"/>
            </w:tcMar>
            <w:vAlign w:val="center"/>
          </w:tcPr>
          <w:p>
            <w:r>
              <w:rPr>
                <w:b w:val="false"/>
                <w:bCs w:val="false"/>
                <w:color w:val="000000"/>
                <w:sz w:val="20"/>
                <w:szCs w:val="20"/>
              </w:rPr>
              <w:t xml:space="preserve">Deliberately resists institutional querying of any kind — the goal is to keep any registry, friendly or hostile, from existing at all.</w:t>
            </w:r>
          </w:p>
        </w:tc>
      </w:tr>
      <w:tr>
        <w:tc>
          <w:tcPr>
            <w:tcW w:type="dxa" w:w="1900"/>
            <w:shd w:fill="E8EEF4" w:val="clear"/>
            <w:tcMar>
              <w:top w:type="dxa" w:w="100"/>
              <w:left w:type="dxa" w:w="120"/>
              <w:bottom w:type="dxa" w:w="100"/>
              <w:right w:type="dxa" w:w="120"/>
            </w:tcMar>
            <w:vAlign w:val="center"/>
          </w:tcPr>
          <w:p>
            <w:r>
              <w:rPr>
                <w:b w:val="false"/>
                <w:bCs w:val="false"/>
                <w:color w:val="000000"/>
                <w:sz w:val="20"/>
                <w:szCs w:val="20"/>
              </w:rPr>
              <w:t xml:space="preserve">Deployment context</w:t>
            </w:r>
          </w:p>
        </w:tc>
        <w:tc>
          <w:tcPr>
            <w:tcW w:type="dxa" w:w="3850"/>
            <w:shd w:fill="E8EEF4" w:val="clear"/>
            <w:tcMar>
              <w:top w:type="dxa" w:w="100"/>
              <w:left w:type="dxa" w:w="120"/>
              <w:bottom w:type="dxa" w:w="100"/>
              <w:right w:type="dxa" w:w="120"/>
            </w:tcMar>
            <w:vAlign w:val="center"/>
          </w:tcPr>
          <w:p>
            <w:r>
              <w:rPr>
                <w:b w:val="false"/>
                <w:bCs w:val="false"/>
                <w:color w:val="000000"/>
                <w:sz w:val="20"/>
                <w:szCs w:val="20"/>
              </w:rPr>
              <w:t xml:space="preserve">Sustained clinical infrastructure with continuity across visits — e.g., MSF's long-running HIV and maternal care programs.</w:t>
            </w:r>
          </w:p>
        </w:tc>
        <w:tc>
          <w:tcPr>
            <w:tcW w:type="dxa" w:w="3850"/>
            <w:shd w:fill="E8EEF4" w:val="clear"/>
            <w:tcMar>
              <w:top w:type="dxa" w:w="100"/>
              <w:left w:type="dxa" w:w="120"/>
              <w:bottom w:type="dxa" w:w="100"/>
              <w:right w:type="dxa" w:w="120"/>
            </w:tcMar>
            <w:vAlign w:val="center"/>
          </w:tcPr>
          <w:p>
            <w:r>
              <w:rPr>
                <w:b w:val="false"/>
                <w:bCs w:val="false"/>
                <w:color w:val="000000"/>
                <w:sz w:val="20"/>
                <w:szCs w:val="20"/>
              </w:rPr>
              <w:t xml:space="preserve">Collapsing or adversarial infrastructure — refugee and conflict settings where the institution itself may be compromised or seized.</w:t>
            </w:r>
          </w:p>
        </w:tc>
      </w:tr>
      <w:tr>
        <w:tc>
          <w:tcPr>
            <w:tcW w:type="dxa" w:w="1900"/>
            <w:tcMar>
              <w:top w:type="dxa" w:w="100"/>
              <w:left w:type="dxa" w:w="120"/>
              <w:bottom w:type="dxa" w:w="100"/>
              <w:right w:type="dxa" w:w="120"/>
            </w:tcMar>
            <w:vAlign w:val="center"/>
          </w:tcPr>
          <w:p>
            <w:r>
              <w:rPr>
                <w:b w:val="false"/>
                <w:bCs w:val="false"/>
                <w:color w:val="000000"/>
                <w:sz w:val="20"/>
                <w:szCs w:val="20"/>
              </w:rPr>
              <w:t xml:space="preserve">Data-loss risk</w:t>
            </w:r>
          </w:p>
        </w:tc>
        <w:tc>
          <w:tcPr>
            <w:tcW w:type="dxa" w:w="3850"/>
            <w:tcMar>
              <w:top w:type="dxa" w:w="100"/>
              <w:left w:type="dxa" w:w="120"/>
              <w:bottom w:type="dxa" w:w="100"/>
              <w:right w:type="dxa" w:w="120"/>
            </w:tcMar>
            <w:vAlign w:val="center"/>
          </w:tcPr>
          <w:p>
            <w:r>
              <w:rPr>
                <w:b w:val="false"/>
                <w:bCs w:val="false"/>
                <w:color w:val="000000"/>
                <w:sz w:val="20"/>
                <w:szCs w:val="20"/>
              </w:rPr>
              <w:t xml:space="preserve">Low. Data lives in a maintained, backed-up central database.</w:t>
            </w:r>
          </w:p>
        </w:tc>
        <w:tc>
          <w:tcPr>
            <w:tcW w:type="dxa" w:w="3850"/>
            <w:tcMar>
              <w:top w:type="dxa" w:w="100"/>
              <w:left w:type="dxa" w:w="120"/>
              <w:bottom w:type="dxa" w:w="100"/>
              <w:right w:type="dxa" w:w="120"/>
            </w:tcMar>
            <w:vAlign w:val="center"/>
          </w:tcPr>
          <w:p>
            <w:r>
              <w:rPr>
                <w:b w:val="false"/>
                <w:bCs w:val="false"/>
                <w:color w:val="000000"/>
                <w:sz w:val="20"/>
                <w:szCs w:val="20"/>
              </w:rPr>
              <w:t xml:space="preserve">High and structural. If the patient's biometric reference is destroyed — scarring, trauma — the record becomes permanently unrecoverable, with no fallback index.</w:t>
            </w:r>
          </w:p>
        </w:tc>
      </w:tr>
      <w:tr>
        <w:tc>
          <w:tcPr>
            <w:tcW w:type="dxa" w:w="1900"/>
            <w:shd w:fill="E8EEF4" w:val="clear"/>
            <w:tcMar>
              <w:top w:type="dxa" w:w="100"/>
              <w:left w:type="dxa" w:w="120"/>
              <w:bottom w:type="dxa" w:w="100"/>
              <w:right w:type="dxa" w:w="120"/>
            </w:tcMar>
            <w:vAlign w:val="center"/>
          </w:tcPr>
          <w:p>
            <w:r>
              <w:rPr>
                <w:b w:val="false"/>
                <w:bCs w:val="false"/>
                <w:color w:val="000000"/>
                <w:sz w:val="20"/>
                <w:szCs w:val="20"/>
              </w:rPr>
              <w:t xml:space="preserve">Fit with erasure laws (e.g. GDPR)</w:t>
            </w:r>
          </w:p>
        </w:tc>
        <w:tc>
          <w:tcPr>
            <w:tcW w:type="dxa" w:w="3850"/>
            <w:shd w:fill="E8EEF4" w:val="clear"/>
            <w:tcMar>
              <w:top w:type="dxa" w:w="100"/>
              <w:left w:type="dxa" w:w="120"/>
              <w:bottom w:type="dxa" w:w="100"/>
              <w:right w:type="dxa" w:w="120"/>
            </w:tcMar>
            <w:vAlign w:val="center"/>
          </w:tcPr>
          <w:p>
            <w:r>
              <w:rPr>
                <w:b w:val="false"/>
                <w:bCs w:val="false"/>
                <w:color w:val="000000"/>
                <w:sz w:val="20"/>
                <w:szCs w:val="20"/>
              </w:rPr>
              <w:t xml:space="preserve">Compatible — records are centrally stored and can be edited or deleted.</w:t>
            </w:r>
          </w:p>
        </w:tc>
        <w:tc>
          <w:tcPr>
            <w:tcW w:type="dxa" w:w="3850"/>
            <w:shd w:fill="E8EEF4" w:val="clear"/>
            <w:tcMar>
              <w:top w:type="dxa" w:w="100"/>
              <w:left w:type="dxa" w:w="120"/>
              <w:bottom w:type="dxa" w:w="100"/>
              <w:right w:type="dxa" w:w="120"/>
            </w:tcMar>
            <w:vAlign w:val="center"/>
          </w:tcPr>
          <w:p>
            <w:r>
              <w:rPr>
                <w:b w:val="false"/>
                <w:bCs w:val="false"/>
                <w:color w:val="000000"/>
                <w:sz w:val="20"/>
                <w:szCs w:val="20"/>
              </w:rPr>
              <w:t xml:space="preserve">In direct tension — the ledger is append-only, and no central authority exists that could delete a record even if legally compelled to.</w:t>
            </w:r>
          </w:p>
        </w:tc>
      </w:tr>
    </w:tbl>
    <w:p>
      <w:pPr>
        <w:pStyle w:val="Heading2"/>
        <w:spacing w:after="120" w:before="240"/>
      </w:pPr>
      <w:r>
        <w:rPr>
          <w:b/>
          <w:bCs/>
          <w:color w:val="1F3864"/>
          <w:sz w:val="24"/>
          <w:szCs w:val="24"/>
        </w:rPr>
        <w:t xml:space="preserve">A note on OpenMRS's FHIR support</w:t>
      </w:r>
    </w:p>
    <w:p>
      <w:pPr>
        <w:spacing w:after="200" w:line="300"/>
      </w:pPr>
      <w:r>
        <w:rPr>
          <w:sz w:val="22"/>
          <w:szCs w:val="22"/>
        </w:rPr>
        <w:t xml:space="preserve">The source document frames OpenMRS's FHIR capability as a fairly thin, credential-gated layer bolted onto a legacy system. That's a bit understated. The OpenMRS FHIR API is a community-built and actively maintained module that provides a genuine two-way FHIR REST API — it supports both exporting data out as FHIR resources and importing FHIR data in, and it's been extended over time with modules covering lab workflows, questionnaires, and other resource types. It's more accurate to describe it as a mature translation layer sitting on top of a well-established core, rather than a weak or incomplete gesture toward interoperability. Worth tightening in the proposal if it's headed anywhere external.</w:t>
      </w:r>
    </w:p>
    <w:p>
      <w:pPr>
        <w:pStyle w:val="Heading2"/>
        <w:spacing w:after="120" w:before="240"/>
      </w:pPr>
      <w:r>
        <w:rPr>
          <w:b/>
          <w:bCs/>
          <w:color w:val="1F3864"/>
          <w:sz w:val="24"/>
          <w:szCs w:val="24"/>
        </w:rPr>
        <w:t xml:space="preserve">Bottom line</w:t>
      </w:r>
    </w:p>
    <w:p>
      <w:pPr>
        <w:spacing w:after="200" w:line="300"/>
      </w:pPr>
      <w:r>
        <w:rPr>
          <w:sz w:val="22"/>
          <w:szCs w:val="22"/>
        </w:rPr>
        <w:t xml:space="preserve">If the question is “which one should a Ministry of Health run for a national HIV program,” the answer is OpenMRS, without much debate — it's mature, FHIR-capable, and built for exactly that kind of sustained institutional use. If the question is “how do we keep a patient's essential medical history safe when the hospital, the government, or the network itself might not be trustworthy,” that's the gap the proposed architecture is actually trying to fill, and it's a gap OpenMRS was never designed to address.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2026-07-20T15:03:01.879Z</dcterms:created>
  <dcterms:modified xsi:type="dcterms:W3CDTF">2026-07-20T15:03:01.892Z</dcterms:modified>
</cp:coreProperties>
</file>

<file path=docProps/custom.xml><?xml version="1.0" encoding="utf-8"?>
<Properties xmlns="http://schemas.openxmlformats.org/officeDocument/2006/custom-properties" xmlns:vt="http://schemas.openxmlformats.org/officeDocument/2006/docPropsVTypes"/>
</file>