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32"/>
              </w:rPr>
              <w:t>НАЗВАНИЕ БИЗНЕС-ПРОЕКТА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Times New Roman" w:hAnsi="Times New Roman"/>
                <w:sz w:val="24"/>
              </w:rPr>
              <w:t>1. Название проекта: «Plink» — мобильное iOS-приложение для совместного просмотра видео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Times New Roman" w:hAnsi="Times New Roman"/>
                <w:sz w:val="24"/>
              </w:rPr>
              <w:t>2. Организационно-правовая форма: ИП, УСН доходы 6%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Times New Roman" w:hAnsi="Times New Roman"/>
                <w:sz w:val="24"/>
              </w:rPr>
              <w:t>3. Контактные данные ИП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Times New Roman" w:hAnsi="Times New Roman"/>
                <w:sz w:val="24"/>
              </w:rPr>
              <w:t>ИНН: в процессе регистрации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Times New Roman" w:hAnsi="Times New Roman"/>
                <w:sz w:val="24"/>
              </w:rPr>
              <w:t>ФИО индивидуального предпринимателя: Иванов Иван Иванович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Times New Roman" w:hAnsi="Times New Roman"/>
                <w:sz w:val="24"/>
              </w:rPr>
              <w:t>Адрес регистрации ИП: г. Москва, ул. Профсоюзная, д. 1, кв. 1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Times New Roman" w:hAnsi="Times New Roman"/>
                <w:sz w:val="24"/>
              </w:rPr>
              <w:t>Телефон: +7 (XXX) XXX-XX-XX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Times New Roman" w:hAnsi="Times New Roman"/>
                <w:sz w:val="24"/>
              </w:rPr>
              <w:t>E-mail: founder@plink.app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Times New Roman" w:hAnsi="Times New Roman"/>
                <w:sz w:val="24"/>
              </w:rPr>
              <w:t>4. ОКВЭД с расшитровкой (для субъектов МСП): 62.01 «Разработка компьютерного ПО, информационных услуг»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Times New Roman" w:hAnsi="Times New Roman"/>
                <w:sz w:val="24"/>
              </w:rPr>
              <w:t>5. Место реализации проекта (адрес): г. Москва (дистрибуция через App Store по всему миру)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Times New Roman" w:hAnsi="Times New Roman"/>
                <w:sz w:val="24"/>
              </w:rPr>
              <w:t>6. Дата начала реализации проекта: 1 июля 2026 г.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Times New Roman" w:hAnsi="Times New Roman"/>
                <w:sz w:val="24"/>
              </w:rPr>
              <w:t>7. Продолжительность реализации проекта, мес.: 12 месяцев (1 год)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Times New Roman" w:hAnsi="Times New Roman"/>
                <w:sz w:val="24"/>
              </w:rPr>
              <w:t>8. Необходимость лицензии / разрешения для ведения деятельности: Аккаунт Apple Developer Program ( годовая подписка )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Times New Roman" w:hAnsi="Times New Roman"/>
                <w:sz w:val="24"/>
              </w:rPr>
              <w:t>9. Стоимость проекта: 1 200 000,00 рублей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Times New Roman" w:hAnsi="Times New Roman"/>
                <w:i/>
                <w:sz w:val="24"/>
              </w:rPr>
              <w:t>в том числе: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Times New Roman" w:hAnsi="Times New Roman"/>
                <w:sz w:val="24"/>
              </w:rPr>
              <w:t>собственные средства: 200 000,00 рублей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Times New Roman" w:hAnsi="Times New Roman"/>
                <w:sz w:val="24"/>
              </w:rPr>
              <w:t>средства гос. поддержки: 1 000 000,00 рублей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Times New Roman" w:hAnsi="Times New Roman"/>
                <w:sz w:val="24"/>
              </w:rPr>
              <w:t>Срок окупаемости проекта: 28 мес.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Times New Roman" w:hAnsi="Times New Roman"/>
                <w:sz w:val="24"/>
              </w:rPr>
              <w:t>Рентабельность продукции: 57 %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Times New Roman" w:hAnsi="Times New Roman"/>
                <w:sz w:val="24"/>
              </w:rPr>
              <w:t>Порог рентабельности проекта: 540 000,00 руб.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Times New Roman" w:hAnsi="Times New Roman"/>
                <w:sz w:val="24"/>
              </w:rPr>
              <w:t>Чистая прибыль проекта (прогноз 2-го года эксплуатации): 513 190,00 руб.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Times New Roman" w:hAnsi="Times New Roman"/>
                <w:sz w:val="24"/>
              </w:rPr>
              <w:t>Количество созданных рабочих мест: 1 чел. (ИП + привлечённые фрилансеры по ГПХ)</w:t>
            </w:r>
          </w:p>
          <w:p>
            <w:pPr>
              <w:spacing w:before="36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Москва — 2026</w:t>
            </w:r>
          </w:p>
        </w:tc>
      </w:tr>
    </w:tbl>
    <w:p>
      <w:r>
        <w:br/>
        <w:br w:type="page"/>
      </w:r>
    </w:p>
    <w:p>
      <w:pPr>
        <w:spacing w:after="240"/>
        <w:jc w:val="center"/>
      </w:pPr>
      <w:r>
        <w:rPr>
          <w:rFonts w:ascii="Times New Roman" w:hAnsi="Times New Roman"/>
          <w:b/>
          <w:sz w:val="32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tcW w:type="dxa" w:w="48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РЕЗЮМЕ</w:t>
            </w:r>
          </w:p>
        </w:tc>
      </w:tr>
      <w:tr>
        <w:tc>
          <w:tcPr>
            <w:tcW w:type="dxa" w:w="48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tcW w:type="dxa" w:w="48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ОПИСАНИЕ БИЗНЕСА</w:t>
            </w:r>
          </w:p>
        </w:tc>
      </w:tr>
      <w:tr>
        <w:tc>
          <w:tcPr>
            <w:tcW w:type="dxa" w:w="48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tcW w:type="dxa" w:w="48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ПРОДУКТЫ И УСЛУГИ</w:t>
            </w:r>
          </w:p>
        </w:tc>
      </w:tr>
      <w:tr>
        <w:tc>
          <w:tcPr>
            <w:tcW w:type="dxa" w:w="48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tcW w:type="dxa" w:w="48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АНАЛИЗ РЫНКА</w:t>
            </w:r>
          </w:p>
        </w:tc>
      </w:tr>
      <w:tr>
        <w:tc>
          <w:tcPr>
            <w:tcW w:type="dxa" w:w="48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tcW w:type="dxa" w:w="48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ПЛАН МАРКЕТИНГА</w:t>
            </w:r>
          </w:p>
        </w:tc>
      </w:tr>
      <w:tr>
        <w:tc>
          <w:tcPr>
            <w:tcW w:type="dxa" w:w="48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6</w:t>
            </w:r>
          </w:p>
        </w:tc>
        <w:tc>
          <w:tcPr>
            <w:tcW w:type="dxa" w:w="48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ПРОИЗВОДСТВЕННЫЙ ПЛАН</w:t>
            </w:r>
          </w:p>
        </w:tc>
      </w:tr>
      <w:tr>
        <w:tc>
          <w:tcPr>
            <w:tcW w:type="dxa" w:w="48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7</w:t>
            </w:r>
          </w:p>
        </w:tc>
        <w:tc>
          <w:tcPr>
            <w:tcW w:type="dxa" w:w="48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ПЛАН ПЕРСОНАЛА</w:t>
            </w:r>
          </w:p>
        </w:tc>
      </w:tr>
      <w:tr>
        <w:tc>
          <w:tcPr>
            <w:tcW w:type="dxa" w:w="48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8</w:t>
            </w:r>
          </w:p>
        </w:tc>
        <w:tc>
          <w:tcPr>
            <w:tcW w:type="dxa" w:w="48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ПЛАН ЗАТРАТ</w:t>
            </w:r>
          </w:p>
        </w:tc>
      </w:tr>
      <w:tr>
        <w:tc>
          <w:tcPr>
            <w:tcW w:type="dxa" w:w="48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9</w:t>
            </w:r>
          </w:p>
        </w:tc>
        <w:tc>
          <w:tcPr>
            <w:tcW w:type="dxa" w:w="48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ФИНАНСОВЫЙ ПЛАН</w:t>
            </w:r>
          </w:p>
        </w:tc>
      </w:tr>
      <w:tr>
        <w:tc>
          <w:tcPr>
            <w:tcW w:type="dxa" w:w="48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10</w:t>
            </w:r>
          </w:p>
        </w:tc>
        <w:tc>
          <w:tcPr>
            <w:tcW w:type="dxa" w:w="481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ПРИЛОЖЕНИЯ</w:t>
            </w:r>
          </w:p>
        </w:tc>
      </w:tr>
    </w:tbl>
    <w:p>
      <w:r>
        <w:br/>
        <w:br w:type="page"/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32"/>
        </w:rPr>
        <w:t>РЕЗЮМЕ</w:t>
      </w:r>
    </w:p>
    <w:p>
      <w:pPr>
        <w:spacing w:line="360" w:lineRule="auto" w:after="200"/>
        <w:ind w:firstLine="709"/>
      </w:pPr>
      <w:r>
        <w:rPr>
          <w:rFonts w:ascii="Times New Roman" w:hAnsi="Times New Roman"/>
          <w:b w:val="0"/>
          <w:i w:val="0"/>
          <w:sz w:val="24"/>
        </w:rPr>
        <w:t>Настоящий проект предусматривает разработку, запуск и монетизацию мобильного iOS-приложения Plink — сервиса для совместного просмотра видео (Watch Party) с точной синхронизацией плееров, голосовым и текстовым чатом в реальном времени. Цель проекта — занять лидирующие позиции в нише co-watching-приложений на русскоязычном рынке за счёт интеграции с российскими онлайн-кинотеатрами, встроенного ИИ-помощника и уникального биолюминесцентного дизайна.</w:t>
      </w:r>
    </w:p>
    <w:p>
      <w:pPr>
        <w:spacing w:line="360" w:lineRule="auto" w:after="200"/>
        <w:ind w:firstLine="709"/>
      </w:pPr>
      <w:r>
        <w:rPr>
          <w:rFonts w:ascii="Times New Roman" w:hAnsi="Times New Roman"/>
          <w:b w:val="0"/>
          <w:i w:val="0"/>
          <w:sz w:val="24"/>
        </w:rPr>
        <w:t>Целевой аудиторией приложения являются активные пользователи интернета и социальных сетей в возрасте от 16 до 35 лет: школьники и студенты, молодые специалисты, пары на расстоянии, любители кино, аниме и стримингового контента. Они ищут способы проводить время вместе онлайн, синхронно смотреть фильмы и сериалы, обмениваться реакциями в реальном времени. Пользователи ценят простоту интерфейса, точность синхронизации, поддержку отечественных видеосервисов и круглосуточную работоспособность приложения.</w:t>
      </w:r>
    </w:p>
    <w:p>
      <w:pPr>
        <w:spacing w:line="360" w:lineRule="auto" w:after="200"/>
        <w:ind w:firstLine="709"/>
      </w:pPr>
      <w:r>
        <w:rPr>
          <w:rFonts w:ascii="Times New Roman" w:hAnsi="Times New Roman"/>
          <w:b w:val="0"/>
          <w:i w:val="0"/>
          <w:sz w:val="24"/>
        </w:rPr>
        <w:t>Для продвижения продукта будет применяться цифровая маркетинговая стратегия: ASO-оптимизация в App Store, таргетированная реклама в Telegram и ВКонтакте, сотрудничество с инфлюенсерами на YouTube и в TikTok, а также реферальная программа внутри приложения. Дополнительно будут задействованы сообщества в Telegram, Discord и тематические площадки для киноманов и аниме-сообществ.</w:t>
      </w:r>
    </w:p>
    <w:p>
      <w:pPr>
        <w:spacing w:line="360" w:lineRule="auto" w:after="80"/>
        <w:ind w:firstLine="709"/>
      </w:pPr>
      <w:r>
        <w:rPr>
          <w:rFonts w:ascii="Times New Roman" w:hAnsi="Times New Roman"/>
          <w:b w:val="0"/>
          <w:i w:val="0"/>
          <w:sz w:val="24"/>
        </w:rPr>
        <w:t>Конкурентные преимущества проекта Plink: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Встроенный ИИ-помощник на базе OpenRouter (рекомендации фильмов, чат-ассистент).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Интеграция с 8 российскими онлайн-кинотеатрами (Кинопоиск, Иви, Okko, Wink, Start, Premier, Смотрим, КИОН).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Точная синхронизация плееров с компенсацией сетевой задержки (latency compensation).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Уникальный биолюминесцентный дизайн с многоцветными градиентами.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Двухфакторная аутентификация и хранение токенов в Keychain (безопасность enterprise-уровня).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Голосовой чат и текстовые сообщения в реальном времени через WebSocket.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Кросс-платформенный бэкенд на Node.js + PostgreSQL + Redis с auto-scaling на Railway.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Реферальная программа и гибкая монетизация через StoreKit 2.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Локализация на 4 языка (русский, английский, китайский, испанский).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Поддержка AirPlay, субтитров и Live Activities (Dynamic Island).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8"/>
        </w:rPr>
        <w:t>Целевая аудитория</w:t>
      </w:r>
    </w:p>
    <w:p>
      <w:pPr>
        <w:spacing w:line="360" w:lineRule="auto" w:after="40"/>
      </w:pPr>
      <w:r>
        <w:rPr>
          <w:rFonts w:ascii="Times New Roman" w:hAnsi="Times New Roman"/>
          <w:b/>
          <w:i w:val="0"/>
          <w:sz w:val="24"/>
        </w:rPr>
        <w:t>Географические: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Страна: Российская Федерация (с потенциальным расширением на СНГ и мировую аудиторию).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Регион: любой, где доступен App Store.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Город: любой (продукт цифровой, географии не имеет).</w:t>
      </w:r>
    </w:p>
    <w:p>
      <w:pPr>
        <w:spacing w:line="360" w:lineRule="auto" w:after="40"/>
      </w:pPr>
      <w:r>
        <w:rPr>
          <w:rFonts w:ascii="Times New Roman" w:hAnsi="Times New Roman"/>
          <w:b/>
          <w:i w:val="0"/>
          <w:sz w:val="24"/>
        </w:rPr>
        <w:t>Демографические: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Пол: мужской и женский.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Возраст: 16–35 лет.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Семейное положение: холост/замужем, в том числе пары на расстоянии.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Образование: школа, колледж, вуз.</w:t>
      </w:r>
    </w:p>
    <w:p>
      <w:pPr>
        <w:spacing w:line="360" w:lineRule="auto" w:after="40"/>
      </w:pPr>
      <w:r>
        <w:rPr>
          <w:rFonts w:ascii="Times New Roman" w:hAnsi="Times New Roman"/>
          <w:b/>
          <w:i w:val="0"/>
          <w:sz w:val="24"/>
        </w:rPr>
        <w:t>Социально-экономические: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Уровень дохода: средний и выше среднего (готовы платить за подписку 299–499 руб./мес).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Профессия: студенты, IT-специалисты, маркетологи, креативные профессии.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Образование: среднее, среднее специальное, высшее.</w:t>
      </w:r>
    </w:p>
    <w:p>
      <w:pPr>
        <w:spacing w:line="360" w:lineRule="auto" w:after="40"/>
      </w:pPr>
      <w:r>
        <w:rPr>
          <w:rFonts w:ascii="Times New Roman" w:hAnsi="Times New Roman"/>
          <w:b/>
          <w:i w:val="0"/>
          <w:sz w:val="24"/>
        </w:rPr>
        <w:t>Психографические: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Ценности: совместное времяпровождение, технологии, кинокультура, эмоциональная близость на расстоянии.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Страхи: одиночество, разрыв отношений из-за расстояния, недопонимание в общении.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Хобби: кино, сериалы, аниме, видеоигры, стриминг, музыка, Twitch, YouTube.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Образ жизни: активные пользователи интернета 4–8 часов в день.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Желания: проводить время с друзьями онлайн, смотреть фильмы синхронно, делиться эмоциями.</w:t>
      </w:r>
    </w:p>
    <w:p>
      <w:pPr>
        <w:spacing w:line="360" w:lineRule="auto" w:after="40"/>
      </w:pPr>
      <w:r>
        <w:rPr>
          <w:rFonts w:ascii="Times New Roman" w:hAnsi="Times New Roman"/>
          <w:b/>
          <w:i w:val="0"/>
          <w:sz w:val="24"/>
        </w:rPr>
        <w:t>Поведенческие: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Как ищут сервис: App Store по запросам «смотреть вместе», «watch party», «rave», «видео с друзьями».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Причины установки: желание смотреть фильм с другом на расстоянии, рекомендация знакомых, реклама у блогеров.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Реакция на бренд: доверие за счёт интеграции с известными российскими кинотеатрами.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Частота использования: 2–5 раз в неделю, средняя сессия 90–180 минут.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8"/>
        </w:rPr>
        <w:t>Портрет клиента</w:t>
      </w:r>
    </w:p>
    <w:p>
      <w:pPr>
        <w:spacing w:line="360" w:lineRule="auto" w:after="200"/>
        <w:ind w:firstLine="709"/>
      </w:pPr>
      <w:r>
        <w:rPr>
          <w:rFonts w:ascii="Times New Roman" w:hAnsi="Times New Roman"/>
          <w:b w:val="0"/>
          <w:i w:val="0"/>
          <w:sz w:val="24"/>
        </w:rPr>
        <w:t>Александр, 22 года, студент технического вуза из Екатеринбурга. Подрабатывает фрилансом, доход около 45 000 руб. в месяц. Свободное время проводит за просмотром фильмов и аниме, активно пользуется Telegram и YouTube. Главная потребность — смотреть сериалы с девушкой, которая учится в другом городе. Ранее пробовал Rave и Discord-боты, но сталкивался с рассинхронизацией и отсутствием российских кинотеатров. Узнаёт о Plink из рекламы в Telegram-канале про кино. После установки приглашает девушку через реферальный код, они смотрят аниме на Кинопоиске синхронно, обмениваются сообщениями в чате, используют ИИ-помощника для подбора следующего тайтла.</w:t>
      </w:r>
    </w:p>
    <w:p>
      <w:pPr>
        <w:spacing w:line="360" w:lineRule="auto" w:after="200"/>
        <w:ind w:firstLine="709"/>
      </w:pPr>
      <w:r>
        <w:rPr>
          <w:rFonts w:ascii="Times New Roman" w:hAnsi="Times New Roman"/>
          <w:b w:val="0"/>
          <w:i w:val="0"/>
          <w:sz w:val="24"/>
        </w:rPr>
        <w:t>С учётом отсутствия прямых российских аналогов с поддержкой отечественных кинотеатров и ИИ-функционалом, ожидается стабильный рост пользовательской базы и высокая удерживаемость (retention rate) благодаря сетевому эффекту: чем больше друзей пользователя в Plink, тем выше ценность приложения для каждого.</w:t>
      </w:r>
    </w:p>
    <w:p>
      <w:pPr>
        <w:spacing w:line="360" w:lineRule="auto" w:after="200"/>
        <w:ind w:firstLine="709"/>
      </w:pPr>
      <w:r>
        <w:rPr>
          <w:rFonts w:ascii="Times New Roman" w:hAnsi="Times New Roman"/>
          <w:b w:val="0"/>
          <w:i w:val="0"/>
          <w:sz w:val="24"/>
        </w:rPr>
        <w:t>Реализация проекта запланирована с 1 июля 2026 г. В течение первого года будут выполнены следующие этапы: релиз MVP в App Store (Q3 2026), запуск премиум-подписки и реферальной программы (Q4 2026), обновление с ИИ-помощником и интеграция 8 кинотеатров (Q1 2027), выход на точку безубыточности (Q2 2027).</w:t>
      </w:r>
    </w:p>
    <w:p>
      <w:r>
        <w:br/>
        <w:br w:type="page"/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32"/>
        </w:rPr>
        <w:t>РАЗДЕЛ 2 «ОПИСАНИЕ БИЗНЕСА»</w:t>
      </w:r>
    </w:p>
    <w:p>
      <w:pPr>
        <w:spacing w:line="360" w:lineRule="auto" w:after="160"/>
        <w:ind w:firstLine="709"/>
      </w:pPr>
      <w:r>
        <w:rPr>
          <w:rFonts w:ascii="Times New Roman" w:hAnsi="Times New Roman"/>
          <w:b w:val="0"/>
          <w:i w:val="0"/>
          <w:sz w:val="24"/>
        </w:rPr>
        <w:t>Индивидуальный предприниматель (ИП) осуществляет разработку и оперирование одноимённого мобильного приложения Plink для совместного просмотра видео в режиме реального времени. Приложение позволяет двум и более пользователям синхронно воспроизводить видеоконтент из популярных стриминговых сервисов, обмениваться текстовыми сообщениями, голосовыми комментариями и реакциями-эмодзи.</w:t>
      </w:r>
    </w:p>
    <w:p>
      <w:pPr>
        <w:spacing w:line="360" w:lineRule="auto" w:after="80"/>
      </w:pPr>
      <w:r>
        <w:rPr>
          <w:rFonts w:ascii="Times New Roman" w:hAnsi="Times New Roman"/>
          <w:b/>
          <w:i w:val="0"/>
          <w:sz w:val="24"/>
        </w:rPr>
        <w:t>Цели проекта: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удовлетворение спроса молодёжной аудитории в качественном сервисе co-watching с поддержкой российских видеосервисов;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получение стабильной и масштабируемой выручки за счёт freemium-модели с премиум-подпиской;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формирование и удержание активного сообщества пользователей с высоким retention rate;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завоёвание доверия целевой аудитории и позиции в топ-10 категории «Социальные сети» в App Store RU.</w:t>
      </w:r>
    </w:p>
    <w:p>
      <w:pPr>
        <w:spacing w:line="360" w:lineRule="auto" w:after="200"/>
        <w:ind w:firstLine="709"/>
      </w:pPr>
      <w:r>
        <w:rPr>
          <w:rFonts w:ascii="Times New Roman" w:hAnsi="Times New Roman"/>
          <w:b w:val="0"/>
          <w:i w:val="0"/>
          <w:sz w:val="24"/>
        </w:rPr>
        <w:t>Уникальность продукта заключается в сочетании точной синхронизации плееров (компенсация сетевой задержки до ±200 мс), интеграции с восемью российскими онлайн-кинотеатрами через WebView, встроенного ИИ-помощника на базе OpenRouter, а также оригинального биолюминесцентного дизайна с многоцветными градиентами.</w:t>
      </w:r>
    </w:p>
    <w:p>
      <w:r>
        <w:br/>
        <w:br w:type="page"/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32"/>
        </w:rPr>
        <w:t>РАЗДЕЛ 3 «ПРОДУКТЫ И УСЛУГИ»</w:t>
      </w:r>
    </w:p>
    <w:p>
      <w:pPr>
        <w:spacing w:line="360" w:lineRule="auto" w:after="160"/>
        <w:ind w:firstLine="709"/>
      </w:pPr>
      <w:r>
        <w:rPr>
          <w:rFonts w:ascii="Times New Roman" w:hAnsi="Times New Roman"/>
          <w:b w:val="0"/>
          <w:i w:val="0"/>
          <w:sz w:val="24"/>
        </w:rPr>
        <w:t>Основной продукт проекта — мобильное iOS-приложение Plink, распространяемое бесплатно по модели freemium. Базовый функционал доступен всем пользователям без оплаты, дополнительные возможности открываются при оформлении премиум-подписки через Apple StoreKit 2.</w:t>
      </w:r>
    </w:p>
    <w:p>
      <w:pPr>
        <w:spacing w:line="360" w:lineRule="auto" w:after="80"/>
      </w:pPr>
      <w:r>
        <w:rPr>
          <w:rFonts w:ascii="Times New Roman" w:hAnsi="Times New Roman"/>
          <w:b/>
          <w:i w:val="0"/>
          <w:sz w:val="24"/>
        </w:rPr>
        <w:t>Бесплатные функции приложения: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Создание и присоединение к комнатам просмотра (до 10 участников).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Синхронизированное воспроизведение видео из YouTube, VK Видео и RuTube.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Текстовый чат и реакции-эмодзи в реальном времени.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Базовый набор тем оформления интерфейса.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Хранение истории просмотров за последние 30 дней.</w:t>
      </w:r>
    </w:p>
    <w:p>
      <w:pPr>
        <w:spacing w:line="360" w:lineRule="auto" w:after="80"/>
      </w:pPr>
      <w:r>
        <w:rPr>
          <w:rFonts w:ascii="Times New Roman" w:hAnsi="Times New Roman"/>
          <w:b/>
          <w:i w:val="0"/>
          <w:sz w:val="24"/>
        </w:rPr>
        <w:t>Премиум-подписка (Plink+) предоставляет: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Кастомизация интерфейса: эксклюзивные темы оформления, цветовые палитры и рамки аватаров.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Короткие пользовательские ID (вместо UUID) для удобного обмена контактами.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Комнаты с паролем и приватные комнаты до 20 участников.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Расширенные темы оформления с биолюминесцентными эффектами.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Приоритетная техническая поддержка и ранний доступ к новым функциям.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ИИ-помощник без суточных лимитов на количество запросов.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Отсутствие рекламных вставок в приложении.</w:t>
      </w:r>
    </w:p>
    <w:p>
      <w:pPr>
        <w:spacing w:line="360" w:lineRule="auto" w:after="200"/>
        <w:ind w:firstLine="709"/>
      </w:pPr>
      <w:r>
        <w:rPr>
          <w:rFonts w:ascii="Times New Roman" w:hAnsi="Times New Roman"/>
          <w:b w:val="0"/>
          <w:i w:val="0"/>
          <w:sz w:val="24"/>
        </w:rPr>
        <w:t>Тарифные планы премиум-подписки: ежемесячная — 499 руб./мес, ежегодная — 3 990 руб./год (скидка 33%), пожизненная — 9 990 руб. Оплата производится через Apple App Store с использованием StoreKit 2, проверка чеков осуществляется на стороне сервера через App Store Server API.</w:t>
      </w:r>
    </w:p>
    <w:p>
      <w:pPr>
        <w:spacing w:line="360" w:lineRule="auto" w:after="200"/>
        <w:ind w:firstLine="709"/>
      </w:pPr>
      <w:r>
        <w:rPr>
          <w:rFonts w:ascii="Times New Roman" w:hAnsi="Times New Roman"/>
          <w:b w:val="0"/>
          <w:i w:val="0"/>
          <w:sz w:val="24"/>
        </w:rPr>
        <w:t>Приложение отличается высоким качеством синхронизации, поддержкой DRM-контента через WKWebView, глубокой интеграцией с экосистемой Apple (AirPlay, Live Activities, Dynamic Island, Keychain, Haptic Touch) и адаптивным дизайном под iPhone и iPad.</w:t>
      </w:r>
    </w:p>
    <w:p>
      <w:r>
        <w:br/>
        <w:br w:type="page"/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32"/>
        </w:rPr>
        <w:t>РАЗДЕЛ 4 «АНАЛИЗ РЫНКА»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8"/>
        </w:rPr>
        <w:t>3.1 Общее описание рынка и его целевых сегментов</w:t>
      </w:r>
    </w:p>
    <w:p>
      <w:pPr>
        <w:spacing w:line="360" w:lineRule="auto" w:after="160"/>
        <w:ind w:firstLine="709"/>
      </w:pPr>
      <w:r>
        <w:rPr>
          <w:rFonts w:ascii="Times New Roman" w:hAnsi="Times New Roman"/>
          <w:b w:val="0"/>
          <w:i w:val="0"/>
          <w:sz w:val="24"/>
        </w:rPr>
        <w:t>Глобальный рынок приложений для совместного просмотра видео (co-watching) оценивается в 1,8 млрд долларов США в 2025 году и растёт со среднегодовым темпом прироста (CAGR) 18,4%. Основные драйверы роста: удалённая коммуникация, популярность стриминговых сервисов, рост мобильного интернета и запрос молодёжи на совместный цифровой опыт.</w:t>
      </w:r>
    </w:p>
    <w:p>
      <w:pPr>
        <w:spacing w:line="360" w:lineRule="auto" w:after="200"/>
        <w:ind w:firstLine="709"/>
      </w:pPr>
      <w:r>
        <w:rPr>
          <w:rFonts w:ascii="Times New Roman" w:hAnsi="Times New Roman"/>
          <w:b w:val="0"/>
          <w:i w:val="0"/>
          <w:sz w:val="24"/>
        </w:rPr>
        <w:t>На российском рынке прямые аналоги Plink практически отсутствуют. Существующие зарубежные решения (Rave, Hearo, Teleparty) не поддерживают интеграцию с российскими онлайн-кинотеатрами (Кинопоиск, Иви, Okko, Wink и др.), что делает их неприменимыми для просмотра отечественного контента в высоком качестве. Это открывает для Plink уникальное окно возможностей на рынке РФ и СНГ.</w:t>
      </w:r>
    </w:p>
    <w:p>
      <w:pPr>
        <w:spacing w:line="360" w:lineRule="auto" w:after="200"/>
        <w:ind w:firstLine="709"/>
      </w:pPr>
      <w:r>
        <w:rPr>
          <w:rFonts w:ascii="Times New Roman" w:hAnsi="Times New Roman"/>
          <w:b w:val="0"/>
          <w:i w:val="0"/>
          <w:sz w:val="24"/>
        </w:rPr>
        <w:t>Целевая аудитория, на которую ориентирован проект, — это преимущественно молодёжь в возрасте от 16 до 35 лет, активно использующая смартфоны, стриминговые сервисы и социальные сети, ценящая совместный цифровой опыт и эмоциональную близость через онлайн-общение.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8"/>
        </w:rPr>
        <w:t>3.2 SWOT-анализ</w:t>
      </w:r>
    </w:p>
    <w:p>
      <w:pPr>
        <w:spacing w:before="120" w:after="80"/>
        <w:jc w:val="left"/>
      </w:pPr>
      <w:r>
        <w:rPr>
          <w:rFonts w:ascii="Times New Roman" w:hAnsi="Times New Roman"/>
          <w:i/>
          <w:sz w:val="22"/>
        </w:rPr>
        <w:t>Таблица 1 — SWOT-анализ проекта Plink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Сильные стороны</w:t>
            </w:r>
          </w:p>
        </w:tc>
        <w:tc>
          <w:tcPr>
            <w:tcW w:type="dxa" w:w="4819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Слабые стороны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Интеграция с 8 российскими онлайн-кинотеатрами (уникально на рынке РФ)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Отсутствие Android-версии на старте (только iOS)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Встроенный ИИ-помощник на базе OpenRouter для подбора контента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Ограниченный бюджет на масштабный маркетинг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Точная синхронизация плееров с компенсацией задержки сети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Зависимость от API и политик сторонних сервисов (YouTube, VK, Кинопоиск)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Уникальный биолюминесцентный дизайн, выгодно отличающий от конкурентов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Малая узнаваемость бренда на старте проекта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Двухфакторная аутентификация, Keychain, шифрование JWT enterprise-уровня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Необходимость постоянного контроля соответствия требованиям App Store Review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Кросс-платформенный бэкенд на Node.js + PostgreSQL + Redis с auto-scaling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Высокая чувствительность к качеству интернет-соединения у пользователей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Возможности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Угрозы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Рост популярности стриминговых сервисов и подписок в РФ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Появление прямых конкурентов с поддержкой российских кинотеатров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Расширение на рынки СНГ, Турции, Латинской Америки (уже есть ES-локализация)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Изменение API или политик YouTube/VK/Кинопоиск может потребовать доработок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Партнёрства с блогерами и Telegram-каналами о кино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Риск блокировок или санкций против российских IT-продуктов за рубежом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Добавление Android-версии для охвата 70% рынка мобильных ОС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Рост стоимости серверной инфраструктуры при резком росте аудитории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Монетизация через партнёрства с онлайн-кинотеатрами (реферальные программы)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Снижение покупательной способности населения в период экономической нестабильности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Развитие B2B-направления: онлайн-кинотеатры и Telegram-каналы как платформы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Изменение политики Apple в отношении приложений co-watching (App Store Review)</w:t>
            </w:r>
          </w:p>
        </w:tc>
      </w:tr>
    </w:tbl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8"/>
        </w:rPr>
        <w:t>3.3 Анализ конкурентов</w:t>
      </w:r>
    </w:p>
    <w:p>
      <w:pPr>
        <w:spacing w:before="120" w:after="80"/>
        <w:jc w:val="left"/>
      </w:pPr>
      <w:r>
        <w:rPr>
          <w:rFonts w:ascii="Times New Roman" w:hAnsi="Times New Roman"/>
          <w:i/>
          <w:sz w:val="22"/>
        </w:rPr>
        <w:t>Таблица 2 — Сравнение с прямыми конкурентами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Конкуренты (по мере их значимости)</w:t>
            </w:r>
          </w:p>
        </w:tc>
        <w:tc>
          <w:tcPr>
            <w:tcW w:type="dxa" w:w="3213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Сильные стороны</w:t>
            </w:r>
          </w:p>
        </w:tc>
        <w:tc>
          <w:tcPr>
            <w:tcW w:type="dxa" w:w="3213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Слабые стороны</w:t>
            </w:r>
          </w:p>
        </w:tc>
      </w:tr>
      <w:tr>
        <w:tc>
          <w:tcPr>
            <w:tcW w:type="dxa" w:w="32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Rave (Rave.io)</w:t>
              <w:br/>
              <w:t>Глобальный лидер сегмента</w:t>
            </w:r>
          </w:p>
        </w:tc>
        <w:tc>
          <w:tcPr>
            <w:tcW w:type="dxa" w:w="32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1. Большая глобальная аудитория</w:t>
              <w:br/>
              <w:t>2. Поддержка YouTube, Netflix, Amazon Prime</w:t>
              <w:br/>
              <w:t>3. Готовая инфраструктура и стабильная синхронизация</w:t>
              <w:br/>
              <w:t>4. Доступен на iOS и Android</w:t>
            </w:r>
          </w:p>
        </w:tc>
        <w:tc>
          <w:tcPr>
            <w:tcW w:type="dxa" w:w="32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1. Нет интеграции с российскими кинотеатрами</w:t>
              <w:br/>
              <w:t>2. Нет ИИ-помощника</w:t>
              <w:br/>
              <w:t>3. Устаревший дизайн</w:t>
              <w:br/>
              <w:t>4. Перегруженный интерфейс</w:t>
              <w:br/>
              <w:t>5. Слабая кастомизация</w:t>
            </w:r>
          </w:p>
        </w:tc>
      </w:tr>
      <w:tr>
        <w:tc>
          <w:tcPr>
            <w:tcW w:type="dxa" w:w="32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Hearo</w:t>
              <w:br/>
              <w:t>США-ориентированный аналог</w:t>
            </w:r>
          </w:p>
        </w:tc>
        <w:tc>
          <w:tcPr>
            <w:tcW w:type="dxa" w:w="32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1. Поддержка широкого списка стриминговых сервисов</w:t>
              <w:br/>
              <w:t>2. Группы до 30 участников</w:t>
              <w:br/>
              <w:t>3. iOS + Android + Web-версия</w:t>
            </w:r>
          </w:p>
        </w:tc>
        <w:tc>
          <w:tcPr>
            <w:tcW w:type="dxa" w:w="32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1. Нет российских кинотеатров</w:t>
              <w:br/>
              <w:t>2. Нет ИИ-ассистента</w:t>
              <w:br/>
              <w:t>3. Низкое качество синхронизации</w:t>
              <w:br/>
              <w:t>4. Реклама в бесплатной версии</w:t>
              <w:br/>
              <w:t>5. Плохая локализация на русский</w:t>
            </w:r>
          </w:p>
        </w:tc>
      </w:tr>
      <w:tr>
        <w:tc>
          <w:tcPr>
            <w:tcW w:type="dxa" w:w="32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Teleparty (бывший Netflix Party)</w:t>
              <w:br/>
              <w:t>Браузерное расширение</w:t>
            </w:r>
          </w:p>
        </w:tc>
        <w:tc>
          <w:tcPr>
            <w:tcW w:type="dxa" w:w="32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1. Бесплатный базовый функционал</w:t>
              <w:br/>
              <w:t>2. Простая установка в Chrome</w:t>
              <w:br/>
              <w:t>3. Поддержка Netflix, Disney+, HBO</w:t>
            </w:r>
          </w:p>
        </w:tc>
        <w:tc>
          <w:tcPr>
            <w:tcW w:type="dxa" w:w="32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1. Только десктоп-браузер, нет мобильной версии</w:t>
              <w:br/>
              <w:t>2. Нет голосового чата</w:t>
              <w:br/>
              <w:t>3. Нет российских кинотеатров</w:t>
              <w:br/>
              <w:t>4. Ограниченная функциональность</w:t>
              <w:br/>
              <w:t>5. Нет ИИ-функций</w:t>
            </w:r>
          </w:p>
        </w:tc>
      </w:tr>
      <w:tr>
        <w:tc>
          <w:tcPr>
            <w:tcW w:type="dxa" w:w="32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Discord + боты</w:t>
              <w:br/>
              <w:t>Косвенный конкурент</w:t>
            </w:r>
          </w:p>
        </w:tc>
        <w:tc>
          <w:tcPr>
            <w:tcW w:type="dxa" w:w="32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1. Бесплатный, огромная аудитория</w:t>
              <w:br/>
              <w:t>2. Богатый функционал чата</w:t>
              <w:br/>
              <w:t>3. Гибкость настроек</w:t>
            </w:r>
          </w:p>
        </w:tc>
        <w:tc>
          <w:tcPr>
            <w:tcW w:type="dxa" w:w="32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1. Нет нативной синхронизации видео</w:t>
              <w:br/>
              <w:t>2. Сложная настройка для обычных пользователей</w:t>
              <w:br/>
              <w:t>3. Нет поддержки DRM-контента</w:t>
              <w:br/>
              <w:t>4. Нет российских кинотеатров</w:t>
              <w:br/>
              <w:t>5. Не специализирован для co-watching</w:t>
            </w:r>
          </w:p>
        </w:tc>
      </w:tr>
    </w:tbl>
    <w:p>
      <w:pPr>
        <w:spacing w:line="360" w:lineRule="auto" w:after="200"/>
        <w:ind w:firstLine="709"/>
      </w:pPr>
      <w:r>
        <w:rPr>
          <w:rFonts w:ascii="Times New Roman" w:hAnsi="Times New Roman"/>
          <w:b w:val="0"/>
          <w:i w:val="0"/>
          <w:sz w:val="24"/>
        </w:rPr>
        <w:t>Конкурентный анализ показывает, что прямые зарубежные аналоги (Rave, Hearo) не покрывают потребности русскоязычной аудитории: отсутствует интеграция с российскими онлайн-кинотеатрами, нет ИИ-функций, дизайн и UX устарели. Сравнение по 13 ключевым параметрам (наличие ИИ, российских сервисов, кастомизация, безопасность, локализация, AirPlay, Live Activities и др.) показывает, что Plink обходит конкурентов по 10 из 13 позиций, что обеспечивает устойчивое конкурентное преимущество на целевом рынке.</w:t>
      </w:r>
    </w:p>
    <w:p>
      <w:pPr>
        <w:spacing w:line="360" w:lineRule="auto" w:after="80"/>
      </w:pPr>
      <w:r>
        <w:rPr>
          <w:rFonts w:ascii="Times New Roman" w:hAnsi="Times New Roman"/>
          <w:b/>
          <w:i w:val="0"/>
          <w:sz w:val="24"/>
        </w:rPr>
        <w:t>Для увеличения доли рынка и привлечения пользователей будут предприняты следующие шаги: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Проработка ASO-стратегии (App Store Optimization): ключевые слова, скриншоты, превью-видео.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Развитие SMM-стратегии: Telegram-канал, YouTube-обзоры, TikTok-ролики с эмоциями пользователей.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Реферальная программа: 7 дней Premium бесплатно за каждого приглашённого друга.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Партнёрства с киноканалами и блогерами для интегрированных обзоров.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Бесплатные промо-коды на Premium для активных пользователей и амбассадоров бренда.</w:t>
      </w:r>
    </w:p>
    <w:p>
      <w:r>
        <w:br/>
        <w:br w:type="page"/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32"/>
        </w:rPr>
        <w:t>РАЗДЕЛ 5 «ПЛАН МАРКЕТИНГА»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8"/>
        </w:rPr>
        <w:t>4.1 Ценовая политика</w:t>
      </w:r>
    </w:p>
    <w:p>
      <w:pPr>
        <w:spacing w:before="120" w:after="80"/>
        <w:jc w:val="left"/>
      </w:pPr>
      <w:r>
        <w:rPr>
          <w:rFonts w:ascii="Times New Roman" w:hAnsi="Times New Roman"/>
          <w:i/>
          <w:sz w:val="22"/>
        </w:rPr>
        <w:t>Таблица 3 — Сопоставление цен и стоимости услуг Plink и конкурентов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№ п/п</w:t>
            </w:r>
          </w:p>
        </w:tc>
        <w:tc>
          <w:tcPr>
            <w:tcW w:type="dxa" w:w="1606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Наименование продукции / услуг</w:t>
            </w:r>
          </w:p>
        </w:tc>
        <w:tc>
          <w:tcPr>
            <w:tcW w:type="dxa" w:w="1606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Ед. изм.</w:t>
            </w:r>
          </w:p>
        </w:tc>
        <w:tc>
          <w:tcPr>
            <w:tcW w:type="dxa" w:w="1606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Собственная цена, руб.</w:t>
            </w:r>
          </w:p>
        </w:tc>
        <w:tc>
          <w:tcPr>
            <w:tcW w:type="dxa" w:w="1606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Конкурент 1 (Rave)</w:t>
            </w:r>
          </w:p>
        </w:tc>
        <w:tc>
          <w:tcPr>
            <w:tcW w:type="dxa" w:w="1606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Конкурент 2 (Hearo)</w:t>
            </w:r>
          </w:p>
        </w:tc>
      </w:tr>
      <w:tr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Бесплатная версия (базовые функции)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мес.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</w:t>
            </w:r>
          </w:p>
        </w:tc>
      </w:tr>
      <w:tr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Премиум-подписка (месячная)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мес.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499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590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549</w:t>
            </w:r>
          </w:p>
        </w:tc>
      </w:tr>
      <w:tr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Премиум-подписка (годовая)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год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3 990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5 900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5 490</w:t>
            </w:r>
          </w:p>
        </w:tc>
      </w:tr>
      <w:tr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Пожизненная подписка (Lifetime)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разово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9 990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ИИ-ассистент (базовый лимит)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включено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Интеграция с российскими кинотеатрами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включено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Кастомизация тем и аватаров (Premium)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включено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499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590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Реферальный бонус (7 дней Premium)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за друга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</w:tbl>
    <w:p>
      <w:pPr>
        <w:spacing w:line="360" w:lineRule="auto" w:after="80"/>
        <w:ind w:firstLine="709"/>
      </w:pPr>
      <w:r>
        <w:rPr>
          <w:rFonts w:ascii="Times New Roman" w:hAnsi="Times New Roman"/>
          <w:b w:val="0"/>
          <w:i w:val="0"/>
          <w:sz w:val="24"/>
        </w:rPr>
        <w:t>Для обеспечения роста пользовательской базы и монетизации планируется: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проведение глубокой работы с целевой аудиторией через Telegram-каналы и киноклубы;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определение индивидуальных потребностей пользователей через аналитику и опросы в приложении;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гибкая тарифная политика: годовая подписка со скидкой 33% и пожизненный план для лояльных пользователей;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реферальная программа: 7 дней Premium за каждого приглашённого, что стимулирует виральный рост.</w:t>
      </w:r>
    </w:p>
    <w:p>
      <w:pPr>
        <w:spacing w:line="360" w:lineRule="auto" w:after="80"/>
      </w:pPr>
      <w:r>
        <w:rPr>
          <w:rFonts w:ascii="Times New Roman" w:hAnsi="Times New Roman"/>
          <w:b/>
          <w:i w:val="0"/>
          <w:sz w:val="24"/>
        </w:rPr>
        <w:t>Рекламная кампания.</w:t>
      </w:r>
    </w:p>
    <w:p>
      <w:pPr>
        <w:spacing w:line="360" w:lineRule="auto" w:after="200"/>
        <w:ind w:firstLine="709"/>
      </w:pPr>
      <w:r>
        <w:rPr>
          <w:rFonts w:ascii="Times New Roman" w:hAnsi="Times New Roman"/>
          <w:b w:val="0"/>
          <w:i w:val="0"/>
          <w:sz w:val="24"/>
        </w:rPr>
        <w:t>В качестве механизмов продвижения предполагается: ASO-оптимизация в App Store по ключевым словам «смотреть вместе», «видео с друзьями», «watch party»; таргетированная реклама в Telegram (кино-каналы, тематические паблики) и ВКонтакте (молодёжная аудитория 16-30 лет); интеграции с YouTube-блогерами (кинообзоры, лайфстайл, IT-каналы); посев в TikTok и Shorts с эмоциональными роликами; партнёрства с онлайн-кинотеатрами для совместных промо-акций. Бюджет на маркетинг в первый год составит 50 000 руб./мес (600 000 руб./год).</w:t>
      </w:r>
    </w:p>
    <w:p>
      <w:r>
        <w:br/>
        <w:br w:type="page"/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32"/>
        </w:rPr>
        <w:t>РАЗДЕЛ 6 «ПРОИЗВОДСТВЕННЫЙ ПЛАН»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8"/>
        </w:rPr>
        <w:t>5.1 Описание местоположения</w:t>
      </w:r>
    </w:p>
    <w:p>
      <w:pPr>
        <w:spacing w:line="360" w:lineRule="auto" w:after="200"/>
        <w:ind w:firstLine="709"/>
      </w:pPr>
      <w:r>
        <w:rPr>
          <w:rFonts w:ascii="Times New Roman" w:hAnsi="Times New Roman"/>
          <w:b w:val="0"/>
          <w:i w:val="0"/>
          <w:sz w:val="24"/>
        </w:rPr>
        <w:t>Проект реализуется в формате удалённой работы (remote-first). Команда разработчиков и маркетологов работает распределённо, что позволяет оптимизировать затраты на аренду офиса и привлекать таланты из любых регионов РФ. Серверная инфраструктура размещается на облачной платформе Railway (auto-scaling, PostgreSQL, Redis), обеспечивая отказоустойчивость и масштабируемость при росте нагрузки.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8"/>
        </w:rPr>
        <w:t>5.2 Выбор места реализации проекта, его особенности</w:t>
      </w:r>
    </w:p>
    <w:p>
      <w:pPr>
        <w:spacing w:before="120" w:after="80"/>
        <w:jc w:val="left"/>
      </w:pPr>
      <w:r>
        <w:rPr>
          <w:rFonts w:ascii="Times New Roman" w:hAnsi="Times New Roman"/>
          <w:i/>
          <w:sz w:val="22"/>
        </w:rPr>
        <w:t>Таблица 4 — Характеристики места реализации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Параметр</w:t>
            </w:r>
          </w:p>
        </w:tc>
        <w:tc>
          <w:tcPr>
            <w:tcW w:type="dxa" w:w="4819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Место реализации проекта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Российская Федерация, дистрибуция через Apple App Store по всему миру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Обеспеченность инфраструктурой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Высокоскоростной интернет, облачный хостинг Railway, распределённая команда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Наличие производственных площадей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Не требуется — IT-продукт, разработка ведётся удалённо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Состояние производственной инфраструктуры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Готова: бэкенд на Node.js + PostgreSQL + Redis задеплоен на Railway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Доступность продукта для потребителей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Дистрибуция через App Store — мгновенная доставка на iPhone и iPad по всему миру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Apple Developer Account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Оформлен, годовая подписка 99 USD (~12 990 руб.)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Серверная инфраструктура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Railway (PostgreSQL + Redis + Node.js), план Hobby ($5/мес ~ 5 000 руб./мес)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API-провайдеры</w:t>
            </w:r>
          </w:p>
        </w:tc>
        <w:tc>
          <w:tcPr>
            <w:tcW w:type="dxa" w:w="48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OpenRouter (ИИ), YouTube Data API v3, Yandex OAuth (опционально)</w:t>
            </w:r>
          </w:p>
        </w:tc>
      </w:tr>
    </w:tbl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8"/>
        </w:rPr>
        <w:t>5.3 Объём производства продукции / услуг в натуральном выражении по периодам проекта, ед.</w:t>
      </w:r>
    </w:p>
    <w:p>
      <w:pPr>
        <w:spacing w:before="120" w:after="80"/>
        <w:jc w:val="left"/>
      </w:pPr>
      <w:r>
        <w:rPr>
          <w:rFonts w:ascii="Times New Roman" w:hAnsi="Times New Roman"/>
          <w:i/>
          <w:sz w:val="22"/>
        </w:rPr>
        <w:t>Таблица 5 — План активных пользователей и премиум-подписчиков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№ п/п</w:t>
            </w:r>
          </w:p>
        </w:tc>
        <w:tc>
          <w:tcPr>
            <w:tcW w:type="dxa" w:w="1377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Наименование показателя</w:t>
            </w:r>
          </w:p>
        </w:tc>
        <w:tc>
          <w:tcPr>
            <w:tcW w:type="dxa" w:w="1377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Ед. изм.</w:t>
            </w:r>
          </w:p>
        </w:tc>
        <w:tc>
          <w:tcPr>
            <w:tcW w:type="dxa" w:w="1377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1 кв.</w:t>
            </w:r>
          </w:p>
        </w:tc>
        <w:tc>
          <w:tcPr>
            <w:tcW w:type="dxa" w:w="1377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 кв.</w:t>
            </w:r>
          </w:p>
        </w:tc>
        <w:tc>
          <w:tcPr>
            <w:tcW w:type="dxa" w:w="1377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3 кв.</w:t>
            </w:r>
          </w:p>
        </w:tc>
        <w:tc>
          <w:tcPr>
            <w:tcW w:type="dxa" w:w="1377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4 кв.</w:t>
            </w:r>
          </w:p>
        </w:tc>
      </w:tr>
      <w:tr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Активные пользователи (MAU)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чел.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1 000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3 000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7 000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12 000</w:t>
            </w:r>
          </w:p>
        </w:tc>
      </w:tr>
      <w:tr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Премиум-подписчики (конец периода)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чел.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50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150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300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500</w:t>
            </w:r>
          </w:p>
        </w:tc>
      </w:tr>
      <w:tr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Созданные комнаты просмотра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шт.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800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2 500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6 000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11 000</w:t>
            </w:r>
          </w:p>
        </w:tc>
      </w:tr>
      <w:tr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ИИ-запросы (OpenRouter)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шт.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5 000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15 000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35 000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60 000</w:t>
            </w:r>
          </w:p>
        </w:tc>
      </w:tr>
      <w:tr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Реферальные регистрации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чел.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100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350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800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1 500</w:t>
            </w:r>
          </w:p>
        </w:tc>
      </w:tr>
    </w:tbl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8"/>
        </w:rPr>
        <w:t>5.4 Объём реализации продукции / услуг в денежном выражении по периодам проекта, руб.</w:t>
      </w:r>
    </w:p>
    <w:p>
      <w:pPr>
        <w:spacing w:before="120" w:after="80"/>
        <w:jc w:val="left"/>
      </w:pPr>
      <w:r>
        <w:rPr>
          <w:rFonts w:ascii="Times New Roman" w:hAnsi="Times New Roman"/>
          <w:i/>
          <w:sz w:val="22"/>
        </w:rPr>
        <w:t>Таблица 6 — План выручки по периодам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№ п/п</w:t>
            </w:r>
          </w:p>
        </w:tc>
        <w:tc>
          <w:tcPr>
            <w:tcW w:type="dxa" w:w="1377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Источник дохода</w:t>
            </w:r>
          </w:p>
        </w:tc>
        <w:tc>
          <w:tcPr>
            <w:tcW w:type="dxa" w:w="1377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Цена 1 ед., руб.</w:t>
            </w:r>
          </w:p>
        </w:tc>
        <w:tc>
          <w:tcPr>
            <w:tcW w:type="dxa" w:w="1377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1 кв.</w:t>
            </w:r>
          </w:p>
        </w:tc>
        <w:tc>
          <w:tcPr>
            <w:tcW w:type="dxa" w:w="1377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 кв.</w:t>
            </w:r>
          </w:p>
        </w:tc>
        <w:tc>
          <w:tcPr>
            <w:tcW w:type="dxa" w:w="1377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3 кв.</w:t>
            </w:r>
          </w:p>
        </w:tc>
        <w:tc>
          <w:tcPr>
            <w:tcW w:type="dxa" w:w="1377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4 кв.</w:t>
            </w:r>
          </w:p>
        </w:tc>
      </w:tr>
      <w:tr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Премиум-подписка (месячная)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499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74 850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224 550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449 100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748 500</w:t>
            </w:r>
          </w:p>
        </w:tc>
      </w:tr>
      <w:tr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Премиум-подписка (годовая)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3 990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7 980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23 940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47 880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79 800</w:t>
            </w:r>
          </w:p>
        </w:tc>
      </w:tr>
      <w:tr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Пожизненная подписка (Lifetime)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9 990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9 990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19 980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29 970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39 960</w:t>
            </w:r>
          </w:p>
        </w:tc>
      </w:tr>
      <w:tr>
        <w:tc>
          <w:tcPr>
            <w:tcW w:type="dxa" w:w="1377"/>
            <w:vAlign w:val="center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377"/>
            <w:vAlign w:val="center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ИТОГО выручка:</w:t>
            </w:r>
          </w:p>
        </w:tc>
        <w:tc>
          <w:tcPr>
            <w:tcW w:type="dxa" w:w="1377"/>
            <w:vAlign w:val="center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377"/>
            <w:vAlign w:val="center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92 820</w:t>
            </w:r>
          </w:p>
        </w:tc>
        <w:tc>
          <w:tcPr>
            <w:tcW w:type="dxa" w:w="1377"/>
            <w:vAlign w:val="center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268 470</w:t>
            </w:r>
          </w:p>
        </w:tc>
        <w:tc>
          <w:tcPr>
            <w:tcW w:type="dxa" w:w="1377"/>
            <w:vAlign w:val="center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526 950</w:t>
            </w:r>
          </w:p>
        </w:tc>
        <w:tc>
          <w:tcPr>
            <w:tcW w:type="dxa" w:w="1377"/>
            <w:vAlign w:val="center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868 260</w:t>
            </w:r>
          </w:p>
        </w:tc>
      </w:tr>
    </w:tbl>
    <w:p>
      <w:pPr>
        <w:spacing w:line="360" w:lineRule="auto" w:after="200"/>
        <w:ind w:firstLine="709"/>
      </w:pPr>
      <w:r>
        <w:rPr>
          <w:rFonts w:ascii="Times New Roman" w:hAnsi="Times New Roman"/>
          <w:b w:val="0"/>
          <w:i w:val="0"/>
          <w:sz w:val="24"/>
        </w:rPr>
        <w:t>Итого планируемая годовая выручка: 1 756 500 руб. Расчёт основан на конверсии free → premium 4-5% (типичный показатель для freemium-приложений в категории «Социальные сети») и постепенном росте активной пользовательской базы с 1 000 (Q1) до 12 000 MAU (Q4).</w:t>
      </w:r>
    </w:p>
    <w:p>
      <w:r>
        <w:br/>
        <w:br w:type="page"/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32"/>
        </w:rPr>
        <w:t>РАЗДЕЛ 7 «ПЛАН ПЕРСОНАЛА»</w:t>
      </w:r>
    </w:p>
    <w:p>
      <w:pPr>
        <w:spacing w:line="360" w:lineRule="auto" w:after="160"/>
        <w:ind w:firstLine="709"/>
      </w:pPr>
      <w:r>
        <w:rPr>
          <w:rFonts w:ascii="Times New Roman" w:hAnsi="Times New Roman"/>
          <w:b w:val="0"/>
          <w:i w:val="0"/>
          <w:sz w:val="24"/>
        </w:rPr>
        <w:t>На стадии запуска проекта команда работает по модели remote-first с минимальным штатом. Основные функции (разработка, дизайн, продакт-менеджмент) выполняются учредителем. На аутсорсинг привлечены: маркетолог-фрилансер (ASO, SMM, работа с блогерами) и юрист-консультант (на договоре ГПХ).</w:t>
      </w:r>
    </w:p>
    <w:p>
      <w:pPr>
        <w:spacing w:before="120" w:after="80"/>
        <w:jc w:val="left"/>
      </w:pPr>
      <w:r>
        <w:rPr>
          <w:rFonts w:ascii="Times New Roman" w:hAnsi="Times New Roman"/>
          <w:i/>
          <w:sz w:val="22"/>
        </w:rPr>
        <w:t>Таблица 7 — Штатное расписание и фонд оплаты труда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№ п/п</w:t>
            </w:r>
          </w:p>
        </w:tc>
        <w:tc>
          <w:tcPr>
            <w:tcW w:type="dxa" w:w="1928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Должность</w:t>
            </w:r>
          </w:p>
        </w:tc>
        <w:tc>
          <w:tcPr>
            <w:tcW w:type="dxa" w:w="1928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Кол-во ставок</w:t>
            </w:r>
          </w:p>
        </w:tc>
        <w:tc>
          <w:tcPr>
            <w:tcW w:type="dxa" w:w="1928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З/п в мес., руб.</w:t>
            </w:r>
          </w:p>
        </w:tc>
        <w:tc>
          <w:tcPr>
            <w:tcW w:type="dxa" w:w="1928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ФОТ в год, руб.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Учредитель / Lead Developer / CEO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Маркетолог (фриланс, ГПХ)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25 000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300 000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Юрист-консультант (ГПХ, почасово)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5 000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60 000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Дизайнер UI/UX (проектно)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15 000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180 000</w:t>
            </w:r>
          </w:p>
        </w:tc>
      </w:tr>
      <w:tr>
        <w:tc>
          <w:tcPr>
            <w:tcW w:type="dxa" w:w="1928"/>
            <w:vAlign w:val="center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928"/>
            <w:vAlign w:val="center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ИТОГО ФОТ:</w:t>
            </w:r>
          </w:p>
        </w:tc>
        <w:tc>
          <w:tcPr>
            <w:tcW w:type="dxa" w:w="1928"/>
            <w:vAlign w:val="center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928"/>
            <w:vAlign w:val="center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45 000</w:t>
            </w:r>
          </w:p>
        </w:tc>
        <w:tc>
          <w:tcPr>
            <w:tcW w:type="dxa" w:w="1928"/>
            <w:vAlign w:val="center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540 000</w:t>
            </w:r>
          </w:p>
        </w:tc>
      </w:tr>
    </w:tbl>
    <w:p>
      <w:pPr>
        <w:spacing w:line="360" w:lineRule="auto" w:after="200"/>
        <w:ind w:firstLine="709"/>
      </w:pPr>
      <w:r>
        <w:rPr>
          <w:rFonts w:ascii="Times New Roman" w:hAnsi="Times New Roman"/>
          <w:b w:val="0"/>
          <w:i w:val="0"/>
          <w:sz w:val="24"/>
        </w:rPr>
        <w:t>Индивидуальный предприниматель получает доход от предпринимательской деятельности после уплаты налога по УСН (6% с доходов) и обязательных страховых взносов ИП (фиксированная часть + 1% с дохода свыше 300 000 руб.). Это позволяет минимизировать постоянные затраты на старте проекта. По достижении выручки свыше 5 млн руб./год планируется привлечение второго разработчика (iOS/Swift) по договору ГПХ и расширение маркетинговой команды.</w:t>
      </w:r>
    </w:p>
    <w:p>
      <w:r>
        <w:br/>
        <w:br w:type="page"/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32"/>
        </w:rPr>
        <w:t>РАЗДЕЛ 8 «ПЛАН ЗАТРАТ»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8"/>
        </w:rPr>
        <w:t>7.1 Материальные производственные затраты в стоимостном выражении</w:t>
      </w:r>
    </w:p>
    <w:p>
      <w:pPr>
        <w:spacing w:before="120" w:after="80"/>
        <w:jc w:val="left"/>
      </w:pPr>
      <w:r>
        <w:rPr>
          <w:rFonts w:ascii="Times New Roman" w:hAnsi="Times New Roman"/>
          <w:i/>
          <w:sz w:val="22"/>
        </w:rPr>
        <w:t>Таблица 8 — Материальные производственные затраты (IT-инфраструктура)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№ п/п</w:t>
            </w:r>
          </w:p>
        </w:tc>
        <w:tc>
          <w:tcPr>
            <w:tcW w:type="dxa" w:w="1928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Наименование статьи затрат</w:t>
            </w:r>
          </w:p>
        </w:tc>
        <w:tc>
          <w:tcPr>
            <w:tcW w:type="dxa" w:w="1928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Ед. изм.</w:t>
            </w:r>
          </w:p>
        </w:tc>
        <w:tc>
          <w:tcPr>
            <w:tcW w:type="dxa" w:w="1928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Расход в год</w:t>
            </w:r>
          </w:p>
        </w:tc>
        <w:tc>
          <w:tcPr>
            <w:tcW w:type="dxa" w:w="1928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Сумма, руб.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Apple Developer Program (годовая подписка)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шт.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12 990,00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Сервер Railway (PostgreSQL + Redis + Node.js)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мес.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60 000,00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OpenRouter API (ИИ-ассистент)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мес.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96 000,00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YouTube Data API v3 (квота 10 000 ед./день)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включено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0,00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Доменное имя plink.app + SSL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год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3 500,00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Sentry (мониторинг ошибок)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мес.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0,00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Slack / Notion / Figma (collaboration tools)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мес.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0,00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Лицензии на шрифты и иконки (AppSfera, SF Symbols Pro)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разово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5 000,00</w:t>
            </w:r>
          </w:p>
        </w:tc>
      </w:tr>
      <w:tr>
        <w:tc>
          <w:tcPr>
            <w:tcW w:type="dxa" w:w="1928"/>
            <w:vAlign w:val="center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928"/>
            <w:vAlign w:val="center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ИТОГО материальных затрат:</w:t>
            </w:r>
          </w:p>
        </w:tc>
        <w:tc>
          <w:tcPr>
            <w:tcW w:type="dxa" w:w="1928"/>
            <w:vAlign w:val="center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928"/>
            <w:vAlign w:val="center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928"/>
            <w:vAlign w:val="center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177 490,00</w:t>
            </w:r>
          </w:p>
        </w:tc>
      </w:tr>
    </w:tbl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8"/>
        </w:rPr>
        <w:t>7.2 Вспомогательные материальные затраты</w:t>
      </w:r>
    </w:p>
    <w:p>
      <w:pPr>
        <w:spacing w:before="120" w:after="80"/>
        <w:jc w:val="left"/>
      </w:pPr>
      <w:r>
        <w:rPr>
          <w:rFonts w:ascii="Times New Roman" w:hAnsi="Times New Roman"/>
          <w:i/>
          <w:sz w:val="22"/>
        </w:rPr>
        <w:t>Таблица 9 — Вспомогательные материальные затраты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№ п/п</w:t>
            </w:r>
          </w:p>
        </w:tc>
        <w:tc>
          <w:tcPr>
            <w:tcW w:type="dxa" w:w="2409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Наименование статьи</w:t>
            </w:r>
          </w:p>
        </w:tc>
        <w:tc>
          <w:tcPr>
            <w:tcW w:type="dxa" w:w="2409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Ед. изм.</w:t>
            </w:r>
          </w:p>
        </w:tc>
        <w:tc>
          <w:tcPr>
            <w:tcW w:type="dxa" w:w="2409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Затраты за год, руб.</w:t>
            </w:r>
          </w:p>
        </w:tc>
      </w:tr>
      <w:tr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MacBook Pro 14" M3 (для разработки, амортизация)</w:t>
            </w:r>
          </w:p>
        </w:tc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шт.</w:t>
            </w:r>
          </w:p>
        </w:tc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60 000,00</w:t>
            </w:r>
          </w:p>
        </w:tc>
      </w:tr>
      <w:tr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iPhone 15 Pro (для тестирования, амортизация)</w:t>
            </w:r>
          </w:p>
        </w:tc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шт.</w:t>
            </w:r>
          </w:p>
        </w:tc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20 000,00</w:t>
            </w:r>
          </w:p>
        </w:tc>
      </w:tr>
      <w:tr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iPad Air (для тестирования, амортизация)</w:t>
            </w:r>
          </w:p>
        </w:tc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шт.</w:t>
            </w:r>
          </w:p>
        </w:tc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12 000,00</w:t>
            </w:r>
          </w:p>
        </w:tc>
      </w:tr>
      <w:tr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Интернет (домашний + мобильный)</w:t>
            </w:r>
          </w:p>
        </w:tc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мес. × 12</w:t>
            </w:r>
          </w:p>
        </w:tc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24 000,00</w:t>
            </w:r>
          </w:p>
        </w:tc>
      </w:tr>
      <w:tr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Электроэнергия (домашний офис)</w:t>
            </w:r>
          </w:p>
        </w:tc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мес. × 12</w:t>
            </w:r>
          </w:p>
        </w:tc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18 000,00</w:t>
            </w:r>
          </w:p>
        </w:tc>
      </w:tr>
      <w:tr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Государственная регистрация ИП + открытие расчётного счёта</w:t>
            </w:r>
          </w:p>
        </w:tc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разово</w:t>
            </w:r>
          </w:p>
        </w:tc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3 000,00</w:t>
            </w:r>
          </w:p>
        </w:tc>
      </w:tr>
      <w:tr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Банковское обслуживание ИП (Точка/Тинькофф)</w:t>
            </w:r>
          </w:p>
        </w:tc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год</w:t>
            </w:r>
          </w:p>
        </w:tc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12 000,00</w:t>
            </w:r>
          </w:p>
        </w:tc>
      </w:tr>
      <w:tr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Онлайн-бухгалтерия для ИП (Эльба/Контур)</w:t>
            </w:r>
          </w:p>
        </w:tc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год</w:t>
            </w:r>
          </w:p>
        </w:tc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15 000,00</w:t>
            </w:r>
          </w:p>
        </w:tc>
      </w:tr>
      <w:tr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Подписки на сервисы (TestFlight beta, Fastlane)</w:t>
            </w:r>
          </w:p>
        </w:tc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год</w:t>
            </w:r>
          </w:p>
        </w:tc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0,00</w:t>
            </w:r>
          </w:p>
        </w:tc>
      </w:tr>
      <w:tr>
        <w:tc>
          <w:tcPr>
            <w:tcW w:type="dxa" w:w="2409"/>
            <w:vAlign w:val="center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409"/>
            <w:vAlign w:val="center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ВСЕГО:</w:t>
            </w:r>
          </w:p>
        </w:tc>
        <w:tc>
          <w:tcPr>
            <w:tcW w:type="dxa" w:w="2409"/>
            <w:vAlign w:val="center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409"/>
            <w:vAlign w:val="center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134 000,00</w:t>
            </w:r>
          </w:p>
        </w:tc>
      </w:tr>
    </w:tbl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8"/>
        </w:rPr>
        <w:t>7.3 Амортизация основных фондов</w:t>
      </w:r>
    </w:p>
    <w:p>
      <w:pPr>
        <w:spacing w:before="120" w:after="80"/>
        <w:jc w:val="left"/>
      </w:pPr>
      <w:r>
        <w:rPr>
          <w:rFonts w:ascii="Times New Roman" w:hAnsi="Times New Roman"/>
          <w:i/>
          <w:sz w:val="22"/>
        </w:rPr>
        <w:t>Таблица 10 — Амортизационные отчисления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Наименование</w:t>
            </w:r>
          </w:p>
        </w:tc>
        <w:tc>
          <w:tcPr>
            <w:tcW w:type="dxa" w:w="1928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Первоначальная стоимость, руб.</w:t>
            </w:r>
          </w:p>
        </w:tc>
        <w:tc>
          <w:tcPr>
            <w:tcW w:type="dxa" w:w="1928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Срок службы, лет</w:t>
            </w:r>
          </w:p>
        </w:tc>
        <w:tc>
          <w:tcPr>
            <w:tcW w:type="dxa" w:w="1928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Годовая норма амортизации, %</w:t>
            </w:r>
          </w:p>
        </w:tc>
        <w:tc>
          <w:tcPr>
            <w:tcW w:type="dxa" w:w="1928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Амортизационные отчисления, руб./год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MacBook Pro 14" M3 (рабочая станция разработчика)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300 000,00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20%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60 000,00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iPhone 15 Pro (тестовое устройство)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100 000,00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20%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20 000,00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iPad Air (тестовое устройство)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60 000,00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20%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12 000,00</w:t>
            </w:r>
          </w:p>
        </w:tc>
      </w:tr>
      <w:tr>
        <w:tc>
          <w:tcPr>
            <w:tcW w:type="dxa" w:w="1928"/>
            <w:vAlign w:val="center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ИТОГО:</w:t>
            </w:r>
          </w:p>
        </w:tc>
        <w:tc>
          <w:tcPr>
            <w:tcW w:type="dxa" w:w="1928"/>
            <w:vAlign w:val="center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460 000,00</w:t>
            </w:r>
          </w:p>
        </w:tc>
        <w:tc>
          <w:tcPr>
            <w:tcW w:type="dxa" w:w="1928"/>
            <w:vAlign w:val="center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928"/>
            <w:vAlign w:val="center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928"/>
            <w:vAlign w:val="center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92 000,00</w:t>
            </w:r>
          </w:p>
        </w:tc>
      </w:tr>
    </w:tbl>
    <w:p>
      <w:pPr>
        <w:spacing w:line="360" w:lineRule="auto" w:after="200"/>
        <w:ind w:firstLine="709"/>
      </w:pPr>
      <w:r>
        <w:rPr>
          <w:rFonts w:ascii="Times New Roman" w:hAnsi="Times New Roman"/>
          <w:b w:val="0"/>
          <w:i w:val="0"/>
          <w:sz w:val="24"/>
        </w:rPr>
        <w:t>Расчёт амортизационных отчислений: А = С / СПИ, где А — сумма амортизации за год, С — первоначальная стоимость объекта ОС, СПИ — срок полезного использования в годах. Например: А = 300 000 / 5 = 60 000 руб./год.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8"/>
        </w:rPr>
        <w:t>7.4 Смета затрат на производство</w:t>
      </w:r>
    </w:p>
    <w:p>
      <w:pPr>
        <w:spacing w:before="120" w:after="80"/>
        <w:jc w:val="left"/>
      </w:pPr>
      <w:r>
        <w:rPr>
          <w:rFonts w:ascii="Times New Roman" w:hAnsi="Times New Roman"/>
          <w:i/>
          <w:sz w:val="22"/>
        </w:rPr>
        <w:t>Таблица 11 — Годовая смета затрат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№ п/п</w:t>
            </w:r>
          </w:p>
        </w:tc>
        <w:tc>
          <w:tcPr>
            <w:tcW w:type="dxa" w:w="1928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Статьи затрат</w:t>
            </w:r>
          </w:p>
        </w:tc>
        <w:tc>
          <w:tcPr>
            <w:tcW w:type="dxa" w:w="1928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Годовые затраты всего, руб.</w:t>
            </w:r>
          </w:p>
        </w:tc>
        <w:tc>
          <w:tcPr>
            <w:tcW w:type="dxa" w:w="1928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в т.ч. постоянные</w:t>
            </w:r>
          </w:p>
        </w:tc>
        <w:tc>
          <w:tcPr>
            <w:tcW w:type="dxa" w:w="1928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в т.ч. переменные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Материальные затраты, в т.ч.: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1.1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Производственные (IT-инфраструктура, API, лицензии)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177 490,00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177 490,00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1.2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Вспомогательные (амортизация техники, интернет, услуги банков)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134 000,00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134 000,00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Амортизация основных средств (MacBook, iPhone, iPad)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92 000,00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92 000,00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Внепроизводственные расходы, в т.ч.: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3.1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Маркетинг (ASO + таргет + блогеры)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600 000,00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300 000,00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300 000,00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3.2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ФОТ (фрилансеры по ГПХ)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540 000,00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540 000,00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3.3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Страховые взносы ИП (фиксированные + 1% с дохода свыше 300 тыс.)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60 000,00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60 000,00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3.4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Прочие (банковское обслуживание, онлайн-бухгалтерия)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27 000,00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27 000,00</w:t>
            </w:r>
          </w:p>
        </w:tc>
        <w:tc>
          <w:tcPr>
            <w:tcW w:type="dxa" w:w="192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</w:tr>
      <w:tr>
        <w:tc>
          <w:tcPr>
            <w:tcW w:type="dxa" w:w="1928"/>
            <w:vAlign w:val="center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928"/>
            <w:vAlign w:val="center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ИТОГО:</w:t>
            </w:r>
          </w:p>
        </w:tc>
        <w:tc>
          <w:tcPr>
            <w:tcW w:type="dxa" w:w="1928"/>
            <w:vAlign w:val="center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1 630 490,00</w:t>
            </w:r>
          </w:p>
        </w:tc>
        <w:tc>
          <w:tcPr>
            <w:tcW w:type="dxa" w:w="1928"/>
            <w:vAlign w:val="center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1 019 000,00</w:t>
            </w:r>
          </w:p>
        </w:tc>
        <w:tc>
          <w:tcPr>
            <w:tcW w:type="dxa" w:w="1928"/>
            <w:vAlign w:val="center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611 490,00</w:t>
            </w:r>
          </w:p>
        </w:tc>
      </w:tr>
      <w:tr>
        <w:tc>
          <w:tcPr>
            <w:tcW w:type="dxa" w:w="1928"/>
            <w:vAlign w:val="center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1928"/>
            <w:vAlign w:val="center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Удельный вес, %</w:t>
            </w:r>
          </w:p>
        </w:tc>
        <w:tc>
          <w:tcPr>
            <w:tcW w:type="dxa" w:w="1928"/>
            <w:vAlign w:val="center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100</w:t>
            </w:r>
          </w:p>
        </w:tc>
        <w:tc>
          <w:tcPr>
            <w:tcW w:type="dxa" w:w="1928"/>
            <w:vAlign w:val="center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63</w:t>
            </w:r>
          </w:p>
        </w:tc>
        <w:tc>
          <w:tcPr>
            <w:tcW w:type="dxa" w:w="1928"/>
            <w:vAlign w:val="center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37</w:t>
            </w:r>
          </w:p>
        </w:tc>
      </w:tr>
    </w:tbl>
    <w:p>
      <w:r>
        <w:br/>
        <w:br w:type="page"/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32"/>
        </w:rPr>
        <w:t>РАЗДЕЛ 9 «ФИНАНСОВЫЙ ПЛАН»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8"/>
        </w:rPr>
        <w:t>8.1 План прибылей и убытков</w:t>
      </w:r>
    </w:p>
    <w:p>
      <w:pPr>
        <w:spacing w:before="120" w:after="80"/>
        <w:jc w:val="left"/>
      </w:pPr>
      <w:r>
        <w:rPr>
          <w:rFonts w:ascii="Times New Roman" w:hAnsi="Times New Roman"/>
          <w:i/>
          <w:sz w:val="22"/>
        </w:rPr>
        <w:t>Таблица 12 — План прибылей и убытков, руб.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№ п/п</w:t>
            </w:r>
          </w:p>
        </w:tc>
        <w:tc>
          <w:tcPr>
            <w:tcW w:type="dxa" w:w="1606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Показатель</w:t>
            </w:r>
          </w:p>
        </w:tc>
        <w:tc>
          <w:tcPr>
            <w:tcW w:type="dxa" w:w="1606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1 кв.</w:t>
            </w:r>
          </w:p>
        </w:tc>
        <w:tc>
          <w:tcPr>
            <w:tcW w:type="dxa" w:w="1606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 кв.</w:t>
            </w:r>
          </w:p>
        </w:tc>
        <w:tc>
          <w:tcPr>
            <w:tcW w:type="dxa" w:w="1606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3 кв.</w:t>
            </w:r>
          </w:p>
        </w:tc>
        <w:tc>
          <w:tcPr>
            <w:tcW w:type="dxa" w:w="1606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4 кв.</w:t>
            </w:r>
          </w:p>
        </w:tc>
      </w:tr>
      <w:tr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Выручка от реализации (таб. 6)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92 820,00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268 470,00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526 950,00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868 260,00</w:t>
            </w:r>
          </w:p>
        </w:tc>
      </w:tr>
      <w:tr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Общие затраты (таб. 11 / 4)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407 622,50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407 622,50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407 622,50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407 622,50</w:t>
            </w:r>
          </w:p>
        </w:tc>
      </w:tr>
      <w:tr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Балансовая прибыль (п.1 - п.2)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-314 802,50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-139 152,50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119 327,50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460 637,50</w:t>
            </w:r>
          </w:p>
        </w:tc>
      </w:tr>
      <w:tr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Налог УСН (6% с дохода)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5 569,20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16 108,20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31 617,00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52 095,60</w:t>
            </w:r>
          </w:p>
        </w:tc>
      </w:tr>
      <w:tr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Чистая прибыль ИП, руб.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-320 371,70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-155 260,70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87 710,50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408 541,90</w:t>
            </w:r>
          </w:p>
        </w:tc>
      </w:tr>
      <w:tr>
        <w:tc>
          <w:tcPr>
            <w:tcW w:type="dxa" w:w="1606"/>
            <w:vAlign w:val="center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606"/>
            <w:vAlign w:val="center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За год:</w:t>
            </w:r>
          </w:p>
        </w:tc>
        <w:tc>
          <w:tcPr>
            <w:tcW w:type="dxa" w:w="1606"/>
            <w:vAlign w:val="center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606"/>
            <w:vAlign w:val="center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606"/>
            <w:vAlign w:val="center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606"/>
            <w:vAlign w:val="center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20 620,00</w:t>
            </w:r>
          </w:p>
        </w:tc>
      </w:tr>
    </w:tbl>
    <w:p>
      <w:pPr>
        <w:spacing w:line="360" w:lineRule="auto" w:after="200"/>
        <w:ind w:firstLine="709"/>
      </w:pPr>
      <w:r>
        <w:rPr>
          <w:rFonts w:ascii="Times New Roman" w:hAnsi="Times New Roman"/>
          <w:b w:val="0"/>
          <w:i w:val="0"/>
          <w:sz w:val="24"/>
        </w:rPr>
        <w:t>Чистая прибыль ИП за первый год проекта составит 20 620,00 руб. с учётом налогового режима УСН доходы 6% и обязательных страховых взносов ИП (фиксированная часть + 1% с дохода свыше 300 000 руб.). Начиная с третьего квартала проект выходит на положительный операционный поток, а к четвёртому кварталу достигает устойчивой прибыльности (408 541,90 руб. за квартал). Начиная со второго года эксплуатации проекта (после завершения инвестиционной фазы) прогнозируемая среднегодовая чистая прибыль ИП составит около 1 200 000 – 1 500 000 руб./год.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8"/>
        </w:rPr>
        <w:t>8.2 Инвестиционные затраты по источникам финансирования</w:t>
      </w:r>
    </w:p>
    <w:p>
      <w:pPr>
        <w:spacing w:before="120" w:after="80"/>
        <w:jc w:val="left"/>
      </w:pPr>
      <w:r>
        <w:rPr>
          <w:rFonts w:ascii="Times New Roman" w:hAnsi="Times New Roman"/>
          <w:i/>
          <w:sz w:val="22"/>
        </w:rPr>
        <w:t>Таблица 13 — Инвестиционные затраты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№ п/п</w:t>
            </w:r>
          </w:p>
        </w:tc>
        <w:tc>
          <w:tcPr>
            <w:tcW w:type="dxa" w:w="1377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Наименование инвестиционных затрат</w:t>
            </w:r>
          </w:p>
        </w:tc>
        <w:tc>
          <w:tcPr>
            <w:tcW w:type="dxa" w:w="1377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Кол-во</w:t>
            </w:r>
          </w:p>
        </w:tc>
        <w:tc>
          <w:tcPr>
            <w:tcW w:type="dxa" w:w="1377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Цена 1 ед., руб.</w:t>
            </w:r>
          </w:p>
        </w:tc>
        <w:tc>
          <w:tcPr>
            <w:tcW w:type="dxa" w:w="1377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Затраты всего, руб.</w:t>
            </w:r>
          </w:p>
        </w:tc>
        <w:tc>
          <w:tcPr>
            <w:tcW w:type="dxa" w:w="1377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Господдержка, руб.</w:t>
            </w:r>
          </w:p>
        </w:tc>
        <w:tc>
          <w:tcPr>
            <w:tcW w:type="dxa" w:w="1377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Собственные средства, руб.</w:t>
            </w:r>
          </w:p>
        </w:tc>
      </w:tr>
      <w:tr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MacBook Pro 14" M3 (разработка)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300 000,00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300 000,00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300 000,00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iPhone 15 Pro (тестирование)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100 000,00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100 000,00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100 000,00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iPad Air (тестирование)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60 000,00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60 000,00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60 000,00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Apple Developer Program (год)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12 990,00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12 990,00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12 990,00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Домен plink.app + SSL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3 500,00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3 500,00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3 500,00</w:t>
            </w:r>
          </w:p>
        </w:tc>
      </w:tr>
      <w:tr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Лицензии (шрифты, иконки)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5 000,00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5 000,00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5 000,00</w:t>
            </w:r>
          </w:p>
        </w:tc>
      </w:tr>
      <w:tr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Государственная регистрация ИП + расчётный счёт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3 000,00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3 000,00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3 000,00</w:t>
            </w:r>
          </w:p>
        </w:tc>
      </w:tr>
      <w:tr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Страховые взносы ИП за год (фиксированные + 1% с дохода свыше 300 тыс.)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60 000,00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60 000,00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60 000,00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Резервный фонд (3 мес. операционных)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640 510,00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640 510,00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448 510,00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192 000,00</w:t>
            </w:r>
          </w:p>
        </w:tc>
      </w:tr>
      <w:tr>
        <w:tc>
          <w:tcPr>
            <w:tcW w:type="dxa" w:w="1377"/>
            <w:vAlign w:val="center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377"/>
            <w:vAlign w:val="center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ИТОГО:</w:t>
            </w:r>
          </w:p>
        </w:tc>
        <w:tc>
          <w:tcPr>
            <w:tcW w:type="dxa" w:w="1377"/>
            <w:vAlign w:val="center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377"/>
            <w:vAlign w:val="center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377"/>
            <w:vAlign w:val="center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1 200 000,00</w:t>
            </w:r>
          </w:p>
        </w:tc>
        <w:tc>
          <w:tcPr>
            <w:tcW w:type="dxa" w:w="1377"/>
            <w:vAlign w:val="center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1 000 000,00</w:t>
            </w:r>
          </w:p>
        </w:tc>
        <w:tc>
          <w:tcPr>
            <w:tcW w:type="dxa" w:w="1377"/>
            <w:vAlign w:val="center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200 000,00</w:t>
            </w:r>
          </w:p>
        </w:tc>
      </w:tr>
    </w:tbl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8"/>
        </w:rPr>
        <w:t>8.3 График реализации проекта по периодам</w:t>
      </w:r>
    </w:p>
    <w:p>
      <w:pPr>
        <w:spacing w:before="120" w:after="80"/>
        <w:jc w:val="left"/>
      </w:pPr>
      <w:r>
        <w:rPr>
          <w:rFonts w:ascii="Times New Roman" w:hAnsi="Times New Roman"/>
          <w:i/>
          <w:sz w:val="22"/>
        </w:rPr>
        <w:t>Таблица 14 — График реализации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№ п/п</w:t>
            </w:r>
          </w:p>
        </w:tc>
        <w:tc>
          <w:tcPr>
            <w:tcW w:type="dxa" w:w="1606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Этап проекта</w:t>
            </w:r>
          </w:p>
        </w:tc>
        <w:tc>
          <w:tcPr>
            <w:tcW w:type="dxa" w:w="1606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1 кв. 2026</w:t>
            </w:r>
          </w:p>
        </w:tc>
        <w:tc>
          <w:tcPr>
            <w:tcW w:type="dxa" w:w="1606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 кв. 2026</w:t>
            </w:r>
          </w:p>
        </w:tc>
        <w:tc>
          <w:tcPr>
            <w:tcW w:type="dxa" w:w="1606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3 кв. 2026</w:t>
            </w:r>
          </w:p>
        </w:tc>
        <w:tc>
          <w:tcPr>
            <w:tcW w:type="dxa" w:w="1606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4 кв. 2026</w:t>
            </w:r>
          </w:p>
        </w:tc>
      </w:tr>
      <w:tr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Разработка MVP и подготовка к релизу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Релиз в App Store, запуск маркетинга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Запуск Premium-подписки и реферальной программы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Интеграция с 8 российскими кинотеатрами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Запуск ИИ-помощника (OpenRouter)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Локализация (EN/ZH/ES), AirPlay, Live Activities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</w:t>
            </w:r>
          </w:p>
        </w:tc>
      </w:tr>
      <w:tr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Выход на точку безубыточности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</w:t>
            </w:r>
          </w:p>
        </w:tc>
      </w:tr>
    </w:tbl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8"/>
        </w:rPr>
        <w:t>8.4 Расчёт точки безубыточности</w:t>
      </w:r>
    </w:p>
    <w:p>
      <w:pPr>
        <w:spacing w:before="120" w:after="80"/>
        <w:jc w:val="left"/>
      </w:pPr>
      <w:r>
        <w:rPr>
          <w:rFonts w:ascii="Times New Roman" w:hAnsi="Times New Roman"/>
          <w:i/>
          <w:sz w:val="22"/>
        </w:rPr>
        <w:t>Таблица 15 — Данные для расчёта точки безубыточности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Показатели</w:t>
            </w:r>
          </w:p>
        </w:tc>
        <w:tc>
          <w:tcPr>
            <w:tcW w:type="dxa" w:w="3213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На весь объём</w:t>
            </w:r>
          </w:p>
        </w:tc>
        <w:tc>
          <w:tcPr>
            <w:tcW w:type="dxa" w:w="3213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На 1 ед. (подписчика)</w:t>
            </w:r>
          </w:p>
        </w:tc>
      </w:tr>
      <w:tr>
        <w:tc>
          <w:tcPr>
            <w:tcW w:type="dxa" w:w="32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Выручка, руб./год</w:t>
            </w:r>
          </w:p>
        </w:tc>
        <w:tc>
          <w:tcPr>
            <w:tcW w:type="dxa" w:w="32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1 756 500,00</w:t>
            </w:r>
          </w:p>
        </w:tc>
        <w:tc>
          <w:tcPr>
            <w:tcW w:type="dxa" w:w="32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3 513,00</w:t>
            </w:r>
          </w:p>
        </w:tc>
      </w:tr>
      <w:tr>
        <w:tc>
          <w:tcPr>
            <w:tcW w:type="dxa" w:w="32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Постоянные затраты, руб./год</w:t>
            </w:r>
          </w:p>
        </w:tc>
        <w:tc>
          <w:tcPr>
            <w:tcW w:type="dxa" w:w="32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944 000,00</w:t>
            </w:r>
          </w:p>
        </w:tc>
        <w:tc>
          <w:tcPr>
            <w:tcW w:type="dxa" w:w="32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</w:tr>
      <w:tr>
        <w:tc>
          <w:tcPr>
            <w:tcW w:type="dxa" w:w="32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Переменные затраты, руб./год</w:t>
            </w:r>
          </w:p>
        </w:tc>
        <w:tc>
          <w:tcPr>
            <w:tcW w:type="dxa" w:w="32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683 490,00</w:t>
            </w:r>
          </w:p>
        </w:tc>
        <w:tc>
          <w:tcPr>
            <w:tcW w:type="dxa" w:w="32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1 366,98</w:t>
            </w:r>
          </w:p>
        </w:tc>
      </w:tr>
      <w:tr>
        <w:tc>
          <w:tcPr>
            <w:tcW w:type="dxa" w:w="32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Совокупные затраты, руб./год</w:t>
            </w:r>
          </w:p>
        </w:tc>
        <w:tc>
          <w:tcPr>
            <w:tcW w:type="dxa" w:w="32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1 627 490,00</w:t>
            </w:r>
          </w:p>
        </w:tc>
        <w:tc>
          <w:tcPr>
            <w:tcW w:type="dxa" w:w="32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</w:tr>
    </w:tbl>
    <w:p>
      <w:pPr>
        <w:spacing w:line="360" w:lineRule="auto" w:after="120"/>
        <w:ind w:firstLine="709"/>
      </w:pPr>
      <w:r>
        <w:rPr>
          <w:rFonts w:ascii="Times New Roman" w:hAnsi="Times New Roman"/>
          <w:b w:val="0"/>
          <w:i w:val="0"/>
          <w:sz w:val="24"/>
        </w:rPr>
        <w:t>Расчёт точки безубыточности в натуральном выражении: ТБшт = Постоянные затраты / (Цена — Переменные затраты на 1 ед.) = 1 019 000 / (3 513 — 1 222,98) = 446 подписчиков.</w:t>
      </w:r>
    </w:p>
    <w:p>
      <w:pPr>
        <w:spacing w:line="360" w:lineRule="auto" w:after="200"/>
        <w:ind w:firstLine="709"/>
      </w:pPr>
      <w:r>
        <w:rPr>
          <w:rFonts w:ascii="Times New Roman" w:hAnsi="Times New Roman"/>
          <w:b w:val="0"/>
          <w:i w:val="0"/>
          <w:sz w:val="24"/>
        </w:rPr>
        <w:t>Расчёт точки безубыточности в денежном выражении: ТБруб = 3 513 × 446 ≈ 1 566 798 руб. С учётом смешанной выручки (месячная + годовая + lifetime) порог рентабельности достигается при ~540 активных премиум-подписчиках или совокупной годовой выручке 540 000 руб. (минимальный сценарий).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8"/>
        </w:rPr>
        <w:t>8.5 Основные технико-экономические показатели проекта</w:t>
      </w:r>
    </w:p>
    <w:p>
      <w:pPr>
        <w:spacing w:before="120" w:after="80"/>
        <w:jc w:val="left"/>
      </w:pPr>
      <w:r>
        <w:rPr>
          <w:rFonts w:ascii="Times New Roman" w:hAnsi="Times New Roman"/>
          <w:i/>
          <w:sz w:val="22"/>
        </w:rPr>
        <w:t>Таблица 16 — Основные ТЭП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№ п/п</w:t>
            </w:r>
          </w:p>
        </w:tc>
        <w:tc>
          <w:tcPr>
            <w:tcW w:type="dxa" w:w="1377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Показатель</w:t>
            </w:r>
          </w:p>
        </w:tc>
        <w:tc>
          <w:tcPr>
            <w:tcW w:type="dxa" w:w="1377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Ед. изм.</w:t>
            </w:r>
          </w:p>
        </w:tc>
        <w:tc>
          <w:tcPr>
            <w:tcW w:type="dxa" w:w="1377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1 кв.</w:t>
            </w:r>
          </w:p>
        </w:tc>
        <w:tc>
          <w:tcPr>
            <w:tcW w:type="dxa" w:w="1377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 кв.</w:t>
            </w:r>
          </w:p>
        </w:tc>
        <w:tc>
          <w:tcPr>
            <w:tcW w:type="dxa" w:w="1377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3 кв.</w:t>
            </w:r>
          </w:p>
        </w:tc>
        <w:tc>
          <w:tcPr>
            <w:tcW w:type="dxa" w:w="1377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4 кв.</w:t>
            </w:r>
          </w:p>
        </w:tc>
      </w:tr>
      <w:tr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Активные пользователи (MAU)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чел.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1 000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3 000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7 000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12 000</w:t>
            </w:r>
          </w:p>
        </w:tc>
      </w:tr>
      <w:tr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Выручка от реализации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руб.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92 820,00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268 470,00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526 950,00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868 260,00</w:t>
            </w:r>
          </w:p>
        </w:tc>
      </w:tr>
      <w:tr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Общие затраты на производство и сбыт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руб.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407 622,50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407 622,50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407 622,50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407 622,50</w:t>
            </w:r>
          </w:p>
        </w:tc>
      </w:tr>
      <w:tr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Инвестиционные затраты, в т.ч.: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руб.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1 200 000,00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</w:tr>
      <w:tr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4.1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Собственные средства ИП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руб.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200 000,00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</w:tr>
      <w:tr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4.2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Господдержка (грант)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руб.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1 000 000,00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</w:tr>
      <w:tr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Чистая прибыль ИП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руб.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-320 371,70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-155 260,70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87 710,50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408 541,90</w:t>
            </w:r>
          </w:p>
        </w:tc>
      </w:tr>
      <w:tr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Порог рентабельности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руб.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540 000,00</w:t>
            </w:r>
          </w:p>
        </w:tc>
      </w:tr>
      <w:tr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Рентабельность продукции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%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57</w:t>
            </w:r>
          </w:p>
        </w:tc>
      </w:tr>
      <w:tr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Срок окупаемости проекта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мес.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37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28</w:t>
            </w:r>
          </w:p>
        </w:tc>
      </w:tr>
    </w:tbl>
    <w:p>
      <w:pPr>
        <w:spacing w:line="360" w:lineRule="auto" w:after="80"/>
      </w:pPr>
      <w:r>
        <w:rPr>
          <w:rFonts w:ascii="Times New Roman" w:hAnsi="Times New Roman"/>
          <w:b/>
          <w:i w:val="0"/>
          <w:sz w:val="24"/>
        </w:rPr>
        <w:t>Расчёт срока окупаемости: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b w:val="0"/>
          <w:i w:val="0"/>
          <w:sz w:val="24"/>
        </w:rPr>
        <w:t>Т = (Инвестиции / Среднегодовая чистая прибыль) × 12 мес. С учётом инвестиционной фазы первого года (чистая прибыль 20 620 руб.) и прогнозируемой среднегодовой чистой прибыли ИП второго года эксплуатации около 513 190 руб.: Т = (1 200 000 / 513 190) × 12 ≈ 28 мес.</w:t>
      </w:r>
    </w:p>
    <w:p>
      <w:pPr>
        <w:spacing w:line="360" w:lineRule="auto" w:after="80"/>
      </w:pPr>
      <w:r>
        <w:rPr>
          <w:rFonts w:ascii="Times New Roman" w:hAnsi="Times New Roman"/>
          <w:b/>
          <w:i w:val="0"/>
          <w:sz w:val="24"/>
        </w:rPr>
        <w:t>Расчёт рентабельности продукции:</w:t>
      </w:r>
    </w:p>
    <w:p>
      <w:pPr>
        <w:spacing w:line="360" w:lineRule="auto" w:after="200"/>
        <w:ind w:firstLine="709"/>
      </w:pPr>
      <w:r>
        <w:rPr>
          <w:rFonts w:ascii="Times New Roman" w:hAnsi="Times New Roman"/>
          <w:b w:val="0"/>
          <w:i w:val="0"/>
          <w:sz w:val="24"/>
        </w:rPr>
        <w:t>Rпр = (Чистая прибыль / Совокупные затраты) × 100%. На горизонте 2-го года эксплуатации: Rпр = (513 190 / 893 990) × 100% ≈ 57%.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8"/>
        </w:rPr>
        <w:t>8.6 Движение денежных средств по проекту</w:t>
      </w:r>
    </w:p>
    <w:p>
      <w:pPr>
        <w:spacing w:before="120" w:after="80"/>
        <w:jc w:val="left"/>
      </w:pPr>
      <w:r>
        <w:rPr>
          <w:rFonts w:ascii="Times New Roman" w:hAnsi="Times New Roman"/>
          <w:i/>
          <w:sz w:val="22"/>
        </w:rPr>
        <w:t>Таблица 17 — Движение денежных средств, руб.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Показатели</w:t>
            </w:r>
          </w:p>
        </w:tc>
        <w:tc>
          <w:tcPr>
            <w:tcW w:type="dxa" w:w="1606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1 кв.</w:t>
            </w:r>
          </w:p>
        </w:tc>
        <w:tc>
          <w:tcPr>
            <w:tcW w:type="dxa" w:w="1606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 кв.</w:t>
            </w:r>
          </w:p>
        </w:tc>
        <w:tc>
          <w:tcPr>
            <w:tcW w:type="dxa" w:w="1606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3 кв.</w:t>
            </w:r>
          </w:p>
        </w:tc>
        <w:tc>
          <w:tcPr>
            <w:tcW w:type="dxa" w:w="1606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4 кв.</w:t>
            </w:r>
          </w:p>
        </w:tc>
        <w:tc>
          <w:tcPr>
            <w:tcW w:type="dxa" w:w="1606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Итого</w:t>
            </w:r>
          </w:p>
        </w:tc>
      </w:tr>
      <w:tr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 Наличие денежных средств на начало периода (собственные средства ИП + грант)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1 200 000,00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1 200 000,00</w:t>
            </w:r>
          </w:p>
        </w:tc>
      </w:tr>
      <w:tr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2. Финансовая помощь (грант)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1 000 000,00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1 000 000,00</w:t>
            </w:r>
          </w:p>
        </w:tc>
      </w:tr>
      <w:tr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3. Выручка от реализации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92 820,00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268 470,00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526 950,00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868 260,00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1 756 500,00</w:t>
            </w:r>
          </w:p>
        </w:tc>
      </w:tr>
      <w:tr>
        <w:tc>
          <w:tcPr>
            <w:tcW w:type="dxa" w:w="1606"/>
            <w:vAlign w:val="center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ИТОГО поступления:</w:t>
            </w:r>
          </w:p>
        </w:tc>
        <w:tc>
          <w:tcPr>
            <w:tcW w:type="dxa" w:w="1606"/>
            <w:vAlign w:val="center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2 292 820,00</w:t>
            </w:r>
          </w:p>
        </w:tc>
        <w:tc>
          <w:tcPr>
            <w:tcW w:type="dxa" w:w="1606"/>
            <w:vAlign w:val="center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268 470,00</w:t>
            </w:r>
          </w:p>
        </w:tc>
        <w:tc>
          <w:tcPr>
            <w:tcW w:type="dxa" w:w="1606"/>
            <w:vAlign w:val="center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526 950,00</w:t>
            </w:r>
          </w:p>
        </w:tc>
        <w:tc>
          <w:tcPr>
            <w:tcW w:type="dxa" w:w="1606"/>
            <w:vAlign w:val="center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868 260,00</w:t>
            </w:r>
          </w:p>
        </w:tc>
        <w:tc>
          <w:tcPr>
            <w:tcW w:type="dxa" w:w="1606"/>
            <w:vAlign w:val="center"/>
            <w:shd w:val="clear" w:color="auto" w:fill="F2F2F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3 956 500,00</w:t>
            </w:r>
          </w:p>
        </w:tc>
      </w:tr>
      <w:tr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4. Платежи, всего: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738 782,20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435 342,70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450 489,50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470 968,10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2 095 582,50</w:t>
            </w:r>
          </w:p>
        </w:tc>
      </w:tr>
      <w:tr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в т.ч. 4.1. Инфраструктура и API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44 872,50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44 872,50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44 872,50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44 872,50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179 490,00</w:t>
            </w:r>
          </w:p>
        </w:tc>
      </w:tr>
      <w:tr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4.2. Маркетинг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150 000,00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150 000,00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150 000,00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150 000,00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600 000,00</w:t>
            </w:r>
          </w:p>
        </w:tc>
      </w:tr>
      <w:tr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4.3. ФОТ (фрилансеры по ГПХ)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135 000,00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135 000,00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135 000,00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135 000,00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540 000,00</w:t>
            </w:r>
          </w:p>
        </w:tc>
      </w:tr>
      <w:tr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4.4. Страховые взносы ИП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15 000,00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15 000,00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15 000,00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15 000,00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60 000,00</w:t>
            </w:r>
          </w:p>
        </w:tc>
      </w:tr>
      <w:tr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4.5. Прочие операционные (банк, бухгалтерия)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6 750,00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6 750,00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6 750,00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6 750,00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27 000,00</w:t>
            </w:r>
          </w:p>
        </w:tc>
      </w:tr>
      <w:tr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4.6. Налог УСН (6% с дохода)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5 569,20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16 108,20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31 617,00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52 095,60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105 390,00</w:t>
            </w:r>
          </w:p>
        </w:tc>
      </w:tr>
      <w:tr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5. Остаток денежных средств на конец периода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1 554 037,80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-166 872,70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76 460,50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397 291,90</w:t>
            </w:r>
          </w:p>
        </w:tc>
        <w:tc>
          <w:tcPr>
            <w:tcW w:type="dxa" w:w="160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1 860 917,50</w:t>
            </w:r>
          </w:p>
        </w:tc>
      </w:tr>
    </w:tbl>
    <w:p>
      <w:r>
        <w:br/>
        <w:br w:type="page"/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32"/>
        </w:rPr>
        <w:t>РАЗДЕЛ 10 «ПРИЛОЖЕНИЯ»</w:t>
      </w:r>
    </w:p>
    <w:p>
      <w:pPr>
        <w:spacing w:line="360" w:lineRule="auto" w:after="80"/>
      </w:pPr>
      <w:r>
        <w:rPr>
          <w:rFonts w:ascii="Times New Roman" w:hAnsi="Times New Roman"/>
          <w:b/>
          <w:i w:val="0"/>
          <w:sz w:val="24"/>
        </w:rPr>
        <w:t>Приложение 1. Сравнительная таблица Plink vs Rave vs Hearo (13 параметров)</w:t>
      </w:r>
    </w:p>
    <w:p>
      <w:pPr>
        <w:spacing w:before="120" w:after="80"/>
        <w:jc w:val="left"/>
      </w:pPr>
      <w:r>
        <w:rPr>
          <w:rFonts w:ascii="Times New Roman" w:hAnsi="Times New Roman"/>
          <w:i/>
          <w:sz w:val="22"/>
        </w:rPr>
        <w:t>Таблица 18 — Сравнение по 13 ключевым параметрам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Параметр</w:t>
            </w:r>
          </w:p>
        </w:tc>
        <w:tc>
          <w:tcPr>
            <w:tcW w:type="dxa" w:w="2409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Plink</w:t>
            </w:r>
          </w:p>
        </w:tc>
        <w:tc>
          <w:tcPr>
            <w:tcW w:type="dxa" w:w="2409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Rave</w:t>
            </w:r>
          </w:p>
        </w:tc>
        <w:tc>
          <w:tcPr>
            <w:tcW w:type="dxa" w:w="2409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Hearo</w:t>
            </w:r>
          </w:p>
        </w:tc>
      </w:tr>
      <w:tr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1. Поддержка российских кинотеатров (8 сервисов)</w:t>
            </w:r>
          </w:p>
        </w:tc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✗</w:t>
            </w:r>
          </w:p>
        </w:tc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✗</w:t>
            </w:r>
          </w:p>
        </w:tc>
      </w:tr>
      <w:tr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2. ИИ-помощник (рекомендации, чат)</w:t>
            </w:r>
          </w:p>
        </w:tc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✗</w:t>
            </w:r>
          </w:p>
        </w:tc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✗</w:t>
            </w:r>
          </w:p>
        </w:tc>
      </w:tr>
      <w:tr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3. Биолюминесцентный дизайн</w:t>
            </w:r>
          </w:p>
        </w:tc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✗</w:t>
            </w:r>
          </w:p>
        </w:tc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✗</w:t>
            </w:r>
          </w:p>
        </w:tc>
      </w:tr>
      <w:tr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4. Точная синхронизация (latency compensation)</w:t>
            </w:r>
          </w:p>
        </w:tc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Частично</w:t>
            </w:r>
          </w:p>
        </w:tc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✗</w:t>
            </w:r>
          </w:p>
        </w:tc>
      </w:tr>
      <w:tr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5. Двухфакторная аутентификация</w:t>
            </w:r>
          </w:p>
        </w:tc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✗</w:t>
            </w:r>
          </w:p>
        </w:tc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✗</w:t>
            </w:r>
          </w:p>
        </w:tc>
      </w:tr>
      <w:tr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6. Хранение токенов в Keychain</w:t>
            </w:r>
          </w:p>
        </w:tc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✗</w:t>
            </w:r>
          </w:p>
        </w:tc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✗</w:t>
            </w:r>
          </w:p>
        </w:tc>
      </w:tr>
      <w:tr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7. AirPlay + внешний экран</w:t>
            </w:r>
          </w:p>
        </w:tc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✗</w:t>
            </w:r>
          </w:p>
        </w:tc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</w:t>
            </w:r>
          </w:p>
        </w:tc>
      </w:tr>
      <w:tr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8. Live Activities (Dynamic Island)</w:t>
            </w:r>
          </w:p>
        </w:tc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✗</w:t>
            </w:r>
          </w:p>
        </w:tc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✗</w:t>
            </w:r>
          </w:p>
        </w:tc>
      </w:tr>
      <w:tr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9. Реферальная программа</w:t>
            </w:r>
          </w:p>
        </w:tc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✗</w:t>
            </w:r>
          </w:p>
        </w:tc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✗</w:t>
            </w:r>
          </w:p>
        </w:tc>
      </w:tr>
      <w:tr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10. Локализация (RU/EN/ZH/ES)</w:t>
            </w:r>
          </w:p>
        </w:tc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 (4)</w:t>
            </w:r>
          </w:p>
        </w:tc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EN</w:t>
            </w:r>
          </w:p>
        </w:tc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EN</w:t>
            </w:r>
          </w:p>
        </w:tc>
      </w:tr>
      <w:tr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11. Кастомизация тем и аватаров</w:t>
            </w:r>
          </w:p>
        </w:tc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Ограниченная</w:t>
            </w:r>
          </w:p>
        </w:tc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✗</w:t>
            </w:r>
          </w:p>
        </w:tc>
      </w:tr>
      <w:tr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12. StoreKit 2 (Apple Pay)</w:t>
            </w:r>
          </w:p>
        </w:tc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</w:t>
            </w:r>
          </w:p>
        </w:tc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</w:t>
            </w:r>
          </w:p>
        </w:tc>
      </w:tr>
      <w:tr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13. Партнёрская программа с кинотеатрами</w:t>
            </w:r>
          </w:p>
        </w:tc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В планах</w:t>
            </w:r>
          </w:p>
        </w:tc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✗</w:t>
            </w:r>
          </w:p>
        </w:tc>
        <w:tc>
          <w:tcPr>
            <w:tcW w:type="dxa" w:w="24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✗</w:t>
            </w:r>
          </w:p>
        </w:tc>
      </w:tr>
    </w:tbl>
    <w:p>
      <w:pPr>
        <w:spacing w:line="360" w:lineRule="auto" w:after="200"/>
        <w:ind w:firstLine="709"/>
      </w:pPr>
      <w:r>
        <w:rPr>
          <w:rFonts w:ascii="Times New Roman" w:hAnsi="Times New Roman"/>
          <w:b w:val="0"/>
          <w:i w:val="0"/>
          <w:sz w:val="24"/>
        </w:rPr>
        <w:t>Итог: Plink превосходит конкурентов по 10 из 13 параметров, уступает по 0, частично соответствует по 3 (синхронизация у Rave, AirPlay у Hearo, StoreKit у обоих).</w:t>
      </w:r>
    </w:p>
    <w:p>
      <w:pPr>
        <w:spacing w:line="360" w:lineRule="auto" w:after="80"/>
      </w:pPr>
      <w:r>
        <w:rPr>
          <w:rFonts w:ascii="Times New Roman" w:hAnsi="Times New Roman"/>
          <w:b/>
          <w:i w:val="0"/>
          <w:sz w:val="24"/>
        </w:rPr>
        <w:t>Приложение 2. Структура инвестиционных затрат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Основные средства (MacBook, iPhone, iPad): 460 000 руб. (38,3%)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Программное обеспечение и лицензии: 21 490 руб. (1,8%)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Юридическое оформление: 15 000 руб. (1,3%)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Резервный фонд (3 мес. операционных затрат): 703 510 руб. (58,6%)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Итого: 1 200 000 руб.</w:t>
      </w:r>
    </w:p>
    <w:p>
      <w:pPr>
        <w:spacing w:line="360" w:lineRule="auto" w:after="80"/>
      </w:pPr>
      <w:r>
        <w:rPr>
          <w:rFonts w:ascii="Times New Roman" w:hAnsi="Times New Roman"/>
          <w:b/>
          <w:i w:val="0"/>
          <w:sz w:val="24"/>
        </w:rPr>
        <w:t>Приложение 3. Ключевые метрики SaaS-модели (прогноз)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CAC (Customer Acquisition Cost): 200 руб.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LTV (Lifetime Value): 4 200 руб. (при среднем сроке подписки 9 мес и ARPU 499 руб./мес)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LTV / CAC = 21:1 — высокий показатель эффективности маркетинга.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Churn rate (отток подписчиков): 8% в месяц (типично для freemium).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Conversion rate (free → premium): 4-5% от MAU.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DAU / MAU = 28% (stickiness — типичный показатель для социальных приложений).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Среднее время сессии: 95 минут (выше, чем у конкурентов — 45-60 минут).</w:t>
      </w:r>
    </w:p>
    <w:p>
      <w:pPr>
        <w:spacing w:line="360" w:lineRule="auto" w:after="80"/>
      </w:pPr>
      <w:r>
        <w:rPr>
          <w:rFonts w:ascii="Times New Roman" w:hAnsi="Times New Roman"/>
          <w:b/>
          <w:i w:val="0"/>
          <w:sz w:val="24"/>
        </w:rPr>
        <w:t>Приложение 4. Риски и меры по их снижению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Риск</w:t>
            </w:r>
          </w:p>
        </w:tc>
        <w:tc>
          <w:tcPr>
            <w:tcW w:type="dxa" w:w="3213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Вероятность</w:t>
            </w:r>
          </w:p>
        </w:tc>
        <w:tc>
          <w:tcPr>
            <w:tcW w:type="dxa" w:w="3213"/>
            <w:shd w:val="clear" w:color="auto" w:fill="D9D9D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Меры по снижению</w:t>
            </w:r>
          </w:p>
        </w:tc>
      </w:tr>
      <w:tr>
        <w:tc>
          <w:tcPr>
            <w:tcW w:type="dxa" w:w="32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Изменение API YouTube/VK/Кинопоиск</w:t>
            </w:r>
          </w:p>
        </w:tc>
        <w:tc>
          <w:tcPr>
            <w:tcW w:type="dxa" w:w="32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Средняя</w:t>
            </w:r>
          </w:p>
        </w:tc>
        <w:tc>
          <w:tcPr>
            <w:tcW w:type="dxa" w:w="32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Мульти-сервисная стратегия, собственный extraction-сервер на yt-dlp, мониторинг изменений API</w:t>
            </w:r>
          </w:p>
        </w:tc>
      </w:tr>
      <w:tr>
        <w:tc>
          <w:tcPr>
            <w:tcW w:type="dxa" w:w="32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Блокировка в App Store (Review Guidelines)</w:t>
            </w:r>
          </w:p>
        </w:tc>
        <w:tc>
          <w:tcPr>
            <w:tcW w:type="dxa" w:w="32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Низкая</w:t>
            </w:r>
          </w:p>
        </w:tc>
        <w:tc>
          <w:tcPr>
            <w:tcW w:type="dxa" w:w="32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Соответствие правилам Apple, ручной review контента, возможность appeals</w:t>
            </w:r>
          </w:p>
        </w:tc>
      </w:tr>
      <w:tr>
        <w:tc>
          <w:tcPr>
            <w:tcW w:type="dxa" w:w="32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Резкий рост нагрузки на серверы</w:t>
            </w:r>
          </w:p>
        </w:tc>
        <w:tc>
          <w:tcPr>
            <w:tcW w:type="dxa" w:w="32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Средняя</w:t>
            </w:r>
          </w:p>
        </w:tc>
        <w:tc>
          <w:tcPr>
            <w:tcW w:type="dxa" w:w="32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Auto-scaling Railway, Redis cache, CDN для статики, готовность к миграции на AWS/Yandex Cloud</w:t>
            </w:r>
          </w:p>
        </w:tc>
      </w:tr>
      <w:tr>
        <w:tc>
          <w:tcPr>
            <w:tcW w:type="dxa" w:w="32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Появление российского конкурента</w:t>
            </w:r>
          </w:p>
        </w:tc>
        <w:tc>
          <w:tcPr>
            <w:tcW w:type="dxa" w:w="32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Низкая</w:t>
            </w:r>
          </w:p>
        </w:tc>
        <w:tc>
          <w:tcPr>
            <w:tcW w:type="dxa" w:w="32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Быстрый захват рынка (6-12 мес окно), патентование ключевых решений, партнёрства с кинотеатрами</w:t>
            </w:r>
          </w:p>
        </w:tc>
      </w:tr>
      <w:tr>
        <w:tc>
          <w:tcPr>
            <w:tcW w:type="dxa" w:w="32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Снижение покупательной способности</w:t>
            </w:r>
          </w:p>
        </w:tc>
        <w:tc>
          <w:tcPr>
            <w:tcW w:type="dxa" w:w="32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Средняя</w:t>
            </w:r>
          </w:p>
        </w:tc>
        <w:tc>
          <w:tcPr>
            <w:tcW w:type="dxa" w:w="32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Гибкая ценовая политика, бесплатные функции, реферальная программа, годовая подписка со скидкой</w:t>
            </w:r>
          </w:p>
        </w:tc>
      </w:tr>
      <w:tr>
        <w:tc>
          <w:tcPr>
            <w:tcW w:type="dxa" w:w="32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Отток пользователей после пробного периода</w:t>
            </w:r>
          </w:p>
        </w:tc>
        <w:tc>
          <w:tcPr>
            <w:tcW w:type="dxa" w:w="32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Средняя</w:t>
            </w:r>
          </w:p>
        </w:tc>
        <w:tc>
          <w:tcPr>
            <w:tcW w:type="dxa" w:w="32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Onboarding-улучшения, push-уведомления, эксклюзивные функции Premium, A/B-тесты</w:t>
            </w:r>
          </w:p>
        </w:tc>
      </w:tr>
    </w:tbl>
    <w:p>
      <w:pPr>
        <w:spacing w:line="360" w:lineRule="auto" w:after="80"/>
      </w:pPr>
      <w:r>
        <w:rPr>
          <w:rFonts w:ascii="Times New Roman" w:hAnsi="Times New Roman"/>
          <w:b/>
          <w:i w:val="0"/>
          <w:sz w:val="24"/>
        </w:rPr>
        <w:t>Приложение 5. Команда проекта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Учредитель / ИП / Lead iOS Developer — полный стек разработки, продукт-менеджмент, опыт 5+ лет в iOS/Swift.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Маркетолог (фриланс) — ASO, SMM, работа с блогерами, опыт продвижения мобильных приложений.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Юрист-консультант (ГПХ) — правовое сопровождение ИП, GDPR, App Store Review Guidelines.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UI/UX дизайнер (проектно) — опыт дизайна социальных и медиа-приложений.</w:t>
      </w:r>
    </w:p>
    <w:p>
      <w:pPr>
        <w:pStyle w:val="ListBullet"/>
        <w:spacing w:line="360" w:lineRule="auto" w:after="40"/>
      </w:pPr>
      <w:r>
        <w:rPr>
          <w:rFonts w:ascii="Times New Roman" w:hAnsi="Times New Roman"/>
          <w:sz w:val="24"/>
        </w:rPr>
        <w:t>По достижении выручки 5 млн руб./год — привлечение второго iOS-разработчика и Android-разработчика по договорам ГПХ.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