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EBF8" w14:textId="16D77F6C" w:rsidR="00380FB1" w:rsidRDefault="003B07F1" w:rsidP="00062C33">
      <w:pPr>
        <w:pStyle w:val="Heading1"/>
        <w:rPr>
          <w:rStyle w:val="normaltextrun"/>
          <w:rFonts w:ascii="Calibri" w:hAnsi="Calibri" w:cs="Calibri"/>
          <w:b/>
          <w:bCs/>
        </w:rPr>
      </w:pPr>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145C2F"/>
    <w:p w14:paraId="73C652AC" w14:textId="042B9690" w:rsidR="00657D07" w:rsidRDefault="004571C8" w:rsidP="004571C8">
      <w:pPr>
        <w:pStyle w:val="Heading2"/>
      </w:pPr>
      <w:r>
        <w:t>Dr</w:t>
      </w:r>
      <w:r w:rsidR="000A2D1D">
        <w:t xml:space="preserve">aft analytical plan, version </w:t>
      </w:r>
      <w:r w:rsidR="0018645F">
        <w:t>1.</w:t>
      </w:r>
      <w:r w:rsidR="00104EF4">
        <w:t>6</w:t>
      </w:r>
    </w:p>
    <w:p w14:paraId="7D434D0C" w14:textId="15423264" w:rsidR="004571C8" w:rsidRDefault="00104EF4" w:rsidP="004571C8">
      <w:pPr>
        <w:pStyle w:val="Heading2"/>
      </w:pPr>
      <w:r>
        <w:t>27</w:t>
      </w:r>
      <w:bookmarkStart w:id="0" w:name="_GoBack"/>
      <w:bookmarkEnd w:id="0"/>
      <w:r w:rsidR="009F5237">
        <w:t>/</w:t>
      </w:r>
      <w:r w:rsidR="00AC69F5">
        <w:t>0</w:t>
      </w:r>
      <w:r w:rsidR="00244325">
        <w:t>5</w:t>
      </w:r>
      <w:r w:rsidR="00AC69F5">
        <w:t>/2022</w:t>
      </w:r>
      <w:r w:rsidR="004571C8">
        <w:t xml:space="preserve">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r w:rsidR="00AC69F5" w14:paraId="6635BAA7" w14:textId="77777777" w:rsidTr="008F222B">
        <w:trPr>
          <w:trHeight w:val="20"/>
        </w:trPr>
        <w:tc>
          <w:tcPr>
            <w:tcW w:w="1738" w:type="dxa"/>
          </w:tcPr>
          <w:p w14:paraId="2446A40E" w14:textId="36667514" w:rsidR="00AC69F5" w:rsidRDefault="00AC69F5" w:rsidP="008F222B">
            <w:pPr>
              <w:spacing w:after="0" w:line="276" w:lineRule="auto"/>
            </w:pPr>
            <w:r>
              <w:t>1.2</w:t>
            </w:r>
          </w:p>
        </w:tc>
        <w:tc>
          <w:tcPr>
            <w:tcW w:w="1453" w:type="dxa"/>
          </w:tcPr>
          <w:p w14:paraId="45107A1D" w14:textId="35B30D90" w:rsidR="00AC69F5" w:rsidRDefault="00AC69F5" w:rsidP="0018645F">
            <w:pPr>
              <w:spacing w:after="0" w:line="276" w:lineRule="auto"/>
            </w:pPr>
            <w:r>
              <w:t>14/01/2022</w:t>
            </w:r>
          </w:p>
        </w:tc>
        <w:tc>
          <w:tcPr>
            <w:tcW w:w="6049" w:type="dxa"/>
          </w:tcPr>
          <w:p w14:paraId="242979E3" w14:textId="3A709C08" w:rsidR="00AC69F5" w:rsidRDefault="00DA325B" w:rsidP="00B320DA">
            <w:pPr>
              <w:spacing w:after="0" w:line="276" w:lineRule="auto"/>
            </w:pPr>
            <w:r>
              <w:t>Addition of data access section</w:t>
            </w:r>
            <w:r w:rsidR="00B320DA">
              <w:t xml:space="preserve"> &amp; update to introduction with new JCVI guidance</w:t>
            </w:r>
          </w:p>
        </w:tc>
      </w:tr>
    </w:tbl>
    <w:p w14:paraId="217D8912" w14:textId="56E752D0" w:rsidR="001B08D6" w:rsidRDefault="001B08D6" w:rsidP="00A15D0B">
      <w:pPr>
        <w:spacing w:line="276" w:lineRule="auto"/>
      </w:pPr>
      <w:r>
        <w:t>A</w:t>
      </w:r>
      <w:r w:rsidR="000A2C9E">
        <w:t>ll further amendments</w:t>
      </w:r>
      <w:r>
        <w:t xml:space="preserve"> made after the analysis was started are document</w:t>
      </w:r>
      <w:r w:rsidR="000A2C9E">
        <w:t>ed</w:t>
      </w:r>
      <w:r>
        <w:t xml:space="preserve"> in section 8.0.</w:t>
      </w: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145C2F">
      <w:pPr>
        <w:pStyle w:val="Heading1"/>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were not called specifically for vaccination because they were pregnant but,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2C81133D"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w:t>
      </w:r>
      <w:r w:rsidR="00BE523A">
        <w:t>meant</w:t>
      </w:r>
      <w:r w:rsidR="00494F23" w:rsidRPr="00494F23">
        <w:t xml:space="preserve"> women who </w:t>
      </w:r>
      <w:r w:rsidR="00BE523A">
        <w:t>were</w:t>
      </w:r>
      <w:r w:rsidR="00BE523A" w:rsidRPr="00494F23">
        <w:t xml:space="preserve"> </w:t>
      </w:r>
      <w:r w:rsidR="00494F23" w:rsidRPr="00494F23">
        <w:t>pregnant should be offered vaccination at the same time as non-pregnant women, based on their age and clinical risk group.</w:t>
      </w:r>
      <w:r w:rsidR="000A610A">
        <w:t xml:space="preserve"> At </w:t>
      </w:r>
      <w:r w:rsidR="000A7419">
        <w:t>the time of the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 xml:space="preserve">Pfizer–BioNTech </w:t>
      </w:r>
      <w:r w:rsidR="00984E33">
        <w:t>(</w:t>
      </w:r>
      <w:r w:rsidR="00984E33" w:rsidRPr="00984E33">
        <w:t>Comirnaty</w:t>
      </w:r>
      <w:r w:rsidR="00984E33">
        <w:t xml:space="preserve">) </w:t>
      </w:r>
      <w:r w:rsidR="000A610A">
        <w:t>and Moderna</w:t>
      </w:r>
      <w:r w:rsidR="00984E33">
        <w:t xml:space="preserve"> (</w:t>
      </w:r>
      <w:r w:rsidR="00984E33" w:rsidRPr="00984E33">
        <w:t>Spikevax</w:t>
      </w:r>
      <w:r w:rsidR="00984E33">
        <w:t>)</w:t>
      </w:r>
      <w:r w:rsidR="000A610A">
        <w:t xml:space="preserve"> vaccines</w:t>
      </w:r>
      <w:r w:rsidR="00EC12E6">
        <w:t xml:space="preserve">; </w:t>
      </w:r>
      <w:r w:rsidR="00494F23">
        <w:t xml:space="preserve">consequently, the JCVI recommended that pregnant women in the UK should be offered the Pfizer/BioNTech or Moderna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vaccine if possible, regardless of vaccine type. </w:t>
      </w:r>
      <w:r w:rsidR="00A427EE" w:rsidRPr="00A427EE">
        <w:t>On the 16th December 2021, the JCVI updated their guidance to recommend that pregnant women are considered a priority group within the COVID-19 vaccination programme.</w:t>
      </w:r>
    </w:p>
    <w:p w14:paraId="09FDEA1A" w14:textId="59B885C4" w:rsidR="00D15E66" w:rsidRDefault="00EC12E6" w:rsidP="000A610A">
      <w:pPr>
        <w:spacing w:line="276" w:lineRule="auto"/>
      </w:pPr>
      <w:r>
        <w:t>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t>3.0: Study Design</w:t>
      </w:r>
    </w:p>
    <w:p w14:paraId="42AA9C24" w14:textId="2AB630EC" w:rsidR="00A607C6" w:rsidRDefault="00A607C6" w:rsidP="00A607C6">
      <w:pPr>
        <w:pStyle w:val="Heading2"/>
      </w:pPr>
      <w:r>
        <w:t xml:space="preserve">3.1: </w:t>
      </w:r>
      <w:r w:rsidR="009D456E">
        <w:t>Overview</w:t>
      </w:r>
    </w:p>
    <w:p w14:paraId="676E0503" w14:textId="040A61BE"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analysis will draw the unvaccinated pregnant women from the pre-pandemic period,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 xml:space="preserve">In the COPS database,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time</w:t>
      </w:r>
      <w:r w:rsidR="0077258F">
        <w:t xml:space="preserve"> </w:t>
      </w:r>
      <w:r w:rsidR="0048448A">
        <w:t xml:space="preserve">period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5D75AB25"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p>
    <w:p w14:paraId="30AE9266" w14:textId="1D001C97" w:rsidR="00A607C6" w:rsidRDefault="00A607C6" w:rsidP="00A607C6">
      <w:pPr>
        <w:pStyle w:val="ListParagraph"/>
        <w:numPr>
          <w:ilvl w:val="0"/>
          <w:numId w:val="20"/>
        </w:numPr>
        <w:spacing w:line="276" w:lineRule="auto"/>
      </w:pPr>
      <w:r>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02EAABFC"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791403">
        <w:t>e</w:t>
      </w:r>
      <w:r>
        <w:t xml:space="preserve">s </w:t>
      </w:r>
      <w:r w:rsidR="00DD7F9D">
        <w:t>1</w:t>
      </w:r>
      <w:r w:rsidR="00753F3B">
        <w:t xml:space="preserve"> &amp; 2</w:t>
      </w:r>
      <w:r>
        <w:t>).</w:t>
      </w:r>
    </w:p>
    <w:p w14:paraId="2A12E790" w14:textId="190ABCD8" w:rsidR="0048448A" w:rsidRDefault="005E250A" w:rsidP="00E5721D">
      <w:pPr>
        <w:pStyle w:val="Heading2"/>
      </w:pPr>
      <w:r>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xml:space="preserve">. </w:t>
      </w:r>
      <w:r>
        <w:lastRenderedPageBreak/>
        <w:t>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1" w:name="_Ref72841250"/>
      <w:r w:rsidRPr="00701BB5">
        <w:rPr>
          <w:sz w:val="22"/>
        </w:rPr>
        <w:t xml:space="preserve">Table </w:t>
      </w:r>
      <w:bookmarkEnd w:id="1"/>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t>Datasets required to identify characteristics of pregnant population</w:t>
            </w:r>
          </w:p>
        </w:tc>
        <w:tc>
          <w:tcPr>
            <w:tcW w:w="6945" w:type="dxa"/>
          </w:tcPr>
          <w:p w14:paraId="05F3D7D2" w14:textId="12F26C67"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exc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 xml:space="preserve">and linked </w:t>
            </w:r>
            <w:r w:rsidR="00A427EE">
              <w:rPr>
                <w:rFonts w:cstheme="minorHAnsi"/>
              </w:rPr>
              <w:t xml:space="preserve">SARS-CoV-2 viral </w:t>
            </w:r>
            <w:r w:rsidR="00822B8E">
              <w:rPr>
                <w:rFonts w:cstheme="minorHAnsi"/>
              </w:rPr>
              <w:t>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w:t>
            </w:r>
            <w:r>
              <w:rPr>
                <w:rFonts w:cstheme="minorHAnsi"/>
              </w:rPr>
              <w:lastRenderedPageBreak/>
              <w:t xml:space="preserve">NCDS, from where it is cleaned and then linked to </w:t>
            </w:r>
            <w:r w:rsidRPr="008E5858">
              <w:rPr>
                <w:rFonts w:cstheme="minorHAnsi"/>
              </w:rPr>
              <w:t>the COPS data.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lastRenderedPageBreak/>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145C2F"/>
    <w:p w14:paraId="0BFF4EB0" w14:textId="7B44A81D" w:rsidR="0039785B" w:rsidRDefault="002A6790" w:rsidP="002A6790">
      <w:pPr>
        <w:pStyle w:val="Heading2"/>
      </w:pPr>
      <w:r>
        <w:t>3.</w:t>
      </w:r>
      <w:r w:rsidR="00DA1809">
        <w:t>5</w:t>
      </w:r>
      <w:r>
        <w:t xml:space="preserve">: Study </w:t>
      </w:r>
      <w:r w:rsidR="00CD6805">
        <w:t>v</w:t>
      </w:r>
      <w:r>
        <w:t>ariables</w:t>
      </w:r>
    </w:p>
    <w:p w14:paraId="70574EF6" w14:textId="77777777" w:rsidR="00DA1809" w:rsidRPr="008C24D0" w:rsidRDefault="00DA1809" w:rsidP="00DA3860"/>
    <w:p w14:paraId="0893E033" w14:textId="5EFA4E8B" w:rsidR="002A6790" w:rsidRDefault="00A21A7A" w:rsidP="0024761C">
      <w:pPr>
        <w:pStyle w:val="Heading3"/>
        <w:spacing w:before="0"/>
      </w:pPr>
      <w:r>
        <w:t>3.</w:t>
      </w:r>
      <w:r w:rsidR="00DA1809">
        <w:t>5</w:t>
      </w:r>
      <w:r w:rsidR="002A6790">
        <w:t xml:space="preserve">.1: Study </w:t>
      </w:r>
      <w:r w:rsidR="00CD6805">
        <w:t>o</w:t>
      </w:r>
      <w:r w:rsidR="002A6790">
        <w:t>utcomes</w:t>
      </w:r>
    </w:p>
    <w:p w14:paraId="20E6E540" w14:textId="73959B74" w:rsidR="00213C56" w:rsidRDefault="002A6790" w:rsidP="00213C56">
      <w:pPr>
        <w:spacing w:line="276" w:lineRule="auto"/>
      </w:pPr>
      <w:r>
        <w:t xml:space="preserve">Maternal, pregnancy and neonatal outcomes of interest are listed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 xml:space="preserve">to </w:t>
      </w:r>
      <w:r w:rsidR="008A44E4">
        <w:rPr>
          <w:rFonts w:eastAsia="Times New Roman" w:cstheme="minorHAnsi"/>
          <w:color w:val="000000"/>
          <w:lang w:eastAsia="en-GB"/>
        </w:rPr>
        <w:t>19</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8A44E4">
        <w:rPr>
          <w:rFonts w:eastAsia="Times New Roman" w:cstheme="minorHAnsi"/>
          <w:color w:val="000000"/>
          <w:lang w:eastAsia="en-GB"/>
        </w:rPr>
        <w:t>20</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AB82E71" w:rsidR="00213C56" w:rsidRPr="00FB7D7D" w:rsidRDefault="00213C56" w:rsidP="00213C56">
      <w:pPr>
        <w:spacing w:before="240" w:line="276" w:lineRule="auto"/>
      </w:pPr>
      <w:r w:rsidRPr="00FB7D7D">
        <w:t xml:space="preserve">Outcomes have been aligned as far as possible with the relevant Brighton/GAIA outcome definitions, and also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 xml:space="preserve">See Appendix 2 for full rational and sources of information behind included outcomes, definitions, timings etc. as presented in Table 2.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the associated secondary outcomes, and the 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may be influenced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outcome includes disseminated intravascular coagulation (DIC) which 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29B5EA43" w:rsidR="002A6790" w:rsidRPr="00FB7D7D" w:rsidRDefault="002A6790" w:rsidP="0024761C">
      <w:pPr>
        <w:spacing w:before="240" w:after="0" w:line="276" w:lineRule="auto"/>
      </w:pPr>
      <w:r w:rsidRPr="00FB7D7D">
        <w:lastRenderedPageBreak/>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(i.e. women will only be included if there is no prior record of 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will be conducted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p>
    <w:p w14:paraId="5D9054E2" w14:textId="7B5DF600"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(but exploration to be undertaken of reasons for any pre-vaccination ICU 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525C7080"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45018F2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03DDC15A"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644FC7A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AA26630"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First trimester miscarriage</w:t>
            </w:r>
          </w:p>
        </w:tc>
        <w:tc>
          <w:tcPr>
            <w:tcW w:w="3668" w:type="dxa"/>
            <w:tcBorders>
              <w:top w:val="nil"/>
              <w:left w:val="nil"/>
              <w:bottom w:val="single" w:sz="4" w:space="0" w:color="auto"/>
              <w:right w:val="single" w:sz="4" w:space="0" w:color="auto"/>
            </w:tcBorders>
            <w:shd w:val="clear" w:color="auto" w:fill="auto"/>
            <w:hideMark/>
          </w:tcPr>
          <w:p w14:paraId="63370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&lt;14 completed weeks gestation</w:t>
            </w:r>
          </w:p>
        </w:tc>
        <w:tc>
          <w:tcPr>
            <w:tcW w:w="1466" w:type="dxa"/>
            <w:tcBorders>
              <w:top w:val="nil"/>
              <w:left w:val="nil"/>
              <w:bottom w:val="single" w:sz="4" w:space="0" w:color="auto"/>
              <w:right w:val="single" w:sz="4" w:space="0" w:color="auto"/>
            </w:tcBorders>
            <w:shd w:val="clear" w:color="auto" w:fill="auto"/>
            <w:hideMark/>
          </w:tcPr>
          <w:p w14:paraId="50DD8C7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E6307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81ECCA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93" w:type="dxa"/>
            <w:tcBorders>
              <w:top w:val="nil"/>
              <w:left w:val="nil"/>
              <w:bottom w:val="single" w:sz="4" w:space="0" w:color="auto"/>
              <w:right w:val="single" w:sz="4" w:space="0" w:color="auto"/>
            </w:tcBorders>
            <w:shd w:val="clear" w:color="auto" w:fill="auto"/>
            <w:hideMark/>
          </w:tcPr>
          <w:p w14:paraId="709E40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84" w:type="dxa"/>
            <w:tcBorders>
              <w:top w:val="nil"/>
              <w:left w:val="nil"/>
              <w:bottom w:val="single" w:sz="4" w:space="0" w:color="auto"/>
              <w:right w:val="single" w:sz="4" w:space="0" w:color="auto"/>
            </w:tcBorders>
          </w:tcPr>
          <w:p w14:paraId="0221C35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42E1A1F5"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3AA6253"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Second trimester miscarriage</w:t>
            </w:r>
          </w:p>
        </w:tc>
        <w:tc>
          <w:tcPr>
            <w:tcW w:w="3668" w:type="dxa"/>
            <w:tcBorders>
              <w:top w:val="nil"/>
              <w:left w:val="nil"/>
              <w:bottom w:val="single" w:sz="4" w:space="0" w:color="auto"/>
              <w:right w:val="single" w:sz="4" w:space="0" w:color="auto"/>
            </w:tcBorders>
            <w:shd w:val="clear" w:color="auto" w:fill="auto"/>
            <w:hideMark/>
          </w:tcPr>
          <w:p w14:paraId="1A8AFE25" w14:textId="3BBC9A65"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14-&lt;</w:t>
            </w:r>
            <w:r w:rsidR="008A44E4" w:rsidRPr="0032579C">
              <w:rPr>
                <w:rFonts w:eastAsia="Times New Roman" w:cstheme="minorHAnsi"/>
                <w:color w:val="000000"/>
                <w:lang w:eastAsia="en-GB"/>
              </w:rPr>
              <w:t>2</w:t>
            </w:r>
            <w:r w:rsidR="008A44E4">
              <w:rPr>
                <w:rFonts w:eastAsia="Times New Roman" w:cstheme="minorHAnsi"/>
                <w:color w:val="000000"/>
                <w:lang w:eastAsia="en-GB"/>
              </w:rPr>
              <w:t>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61448BC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DB471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E657654" w14:textId="7439105C"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93" w:type="dxa"/>
            <w:tcBorders>
              <w:top w:val="nil"/>
              <w:left w:val="nil"/>
              <w:bottom w:val="single" w:sz="4" w:space="0" w:color="auto"/>
              <w:right w:val="single" w:sz="4" w:space="0" w:color="auto"/>
            </w:tcBorders>
            <w:shd w:val="clear" w:color="auto" w:fill="auto"/>
            <w:hideMark/>
          </w:tcPr>
          <w:p w14:paraId="05793ED9" w14:textId="286FC38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14+0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176CC581"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1A80F885" w:rsidR="002A6790" w:rsidRPr="0032579C" w:rsidRDefault="00244325"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54C04BE9"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Spontaneous fetal loss at ≥</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r w:rsidRPr="0032579C">
              <w:rPr>
                <w:rFonts w:eastAsia="Times New Roman" w:cstheme="minorHAnsi"/>
                <w:color w:val="000000"/>
                <w:lang w:eastAsia="en-GB"/>
              </w:rPr>
              <w:br/>
              <w:t xml:space="preserve">Any cause of fetal </w:t>
            </w:r>
            <w:r w:rsidR="009A3D07">
              <w:rPr>
                <w:rFonts w:eastAsia="Times New Roman" w:cstheme="minorHAnsi"/>
                <w:color w:val="000000"/>
                <w:lang w:eastAsia="en-GB"/>
              </w:rPr>
              <w:t>death.</w:t>
            </w:r>
            <w:r w:rsidRPr="0032579C">
              <w:rPr>
                <w:rFonts w:eastAsia="Times New Roman" w:cstheme="minorHAnsi"/>
                <w:color w:val="000000"/>
                <w:lang w:eastAsia="en-GB"/>
              </w:rPr>
              <w:br/>
            </w:r>
            <w:r w:rsidR="009A3D07">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33EF17AF" w:rsidR="002A6790" w:rsidRPr="0032579C" w:rsidRDefault="008A44E4"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2</w:t>
            </w:r>
            <w:r>
              <w:rPr>
                <w:rFonts w:eastAsia="Times New Roman" w:cstheme="minorHAnsi"/>
                <w:color w:val="000000"/>
                <w:lang w:eastAsia="en-GB"/>
              </w:rPr>
              <w:t>0</w:t>
            </w:r>
            <w:r w:rsidR="002A6790" w:rsidRPr="0032579C">
              <w:rPr>
                <w:rFonts w:eastAsia="Times New Roman" w:cstheme="minorHAnsi"/>
                <w:color w:val="000000"/>
                <w:lang w:eastAsia="en-GB"/>
              </w:rPr>
              <w:t>+0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Any non-genetic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excluding anomalies with known underlying 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 xml:space="preserve">OFC on delivery record &lt;2SD below </w:t>
            </w:r>
            <w:r w:rsidRPr="0032579C">
              <w:rPr>
                <w:rFonts w:eastAsia="Times New Roman" w:cstheme="minorHAnsi"/>
                <w:color w:val="000000"/>
                <w:lang w:eastAsia="en-GB"/>
              </w:rPr>
              <w:lastRenderedPageBreak/>
              <w:t>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lastRenderedPageBreak/>
        <w:t xml:space="preserve"> Notes: If timing of vaccination during pregnancy is specified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For longer term risk periods: E is date of end of pregnancy; PP is mother's postpartum period, i.e.</w:t>
      </w:r>
      <w:r w:rsidR="00205F7B">
        <w:t xml:space="preserve"> 6 weeks following delivery (E</w:t>
      </w:r>
      <w:r>
        <w:t xml:space="preserve"> to 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E508D71" w14:textId="77777777" w:rsidR="00205F7B" w:rsidRDefault="00D123FD" w:rsidP="00C8036D">
      <w:r>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(2) by the </w:t>
      </w:r>
      <w:r w:rsidR="006C0DB1">
        <w:t xml:space="preserve">class of vaccine(s) received and; (3) by the </w:t>
      </w:r>
      <w:r w:rsidR="00213C56">
        <w:t>type of vaccine</w:t>
      </w:r>
      <w:r>
        <w:t>(s)</w:t>
      </w:r>
      <w:r w:rsidR="00213C56">
        <w:t xml:space="preserve"> received. </w:t>
      </w:r>
      <w:r w:rsidR="00765351">
        <w:t>For the latter</w:t>
      </w:r>
      <w:r w:rsidR="006C0DB1">
        <w:t xml:space="preserve"> two</w:t>
      </w:r>
      <w:r w:rsidR="00765351">
        <w:t xml:space="preserve"> subgroup analys</w:t>
      </w:r>
      <w:r w:rsidR="006C0DB1">
        <w:t>e</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be interpreted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Pfizer/BioNTech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r>
              <w:t>dd/mm/yyyy</w:t>
            </w:r>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r w:rsidRPr="007971C8">
              <w:t xml:space="preserve">Moderna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mRNA (Pfizer and Moderna)</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r>
              <w:t>dd/mm/yyyy</w:t>
            </w:r>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r w:rsidRPr="007971C8">
              <w:t xml:space="preserve">Moderna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mRNA (Pfizer and Moderna)</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lastRenderedPageBreak/>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t>Vaccination date dose 3</w:t>
            </w:r>
            <w:r w:rsidR="00DE1768">
              <w:t>*</w:t>
            </w:r>
          </w:p>
        </w:tc>
        <w:tc>
          <w:tcPr>
            <w:tcW w:w="2119" w:type="pct"/>
          </w:tcPr>
          <w:p w14:paraId="18755FE6" w14:textId="400F67CF" w:rsidR="00E7278A" w:rsidRDefault="00E7278A" w:rsidP="00E7278A">
            <w:pPr>
              <w:spacing w:after="0" w:line="240" w:lineRule="auto"/>
              <w:contextualSpacing/>
            </w:pPr>
            <w:r>
              <w:t>dd/mm/yyyy</w:t>
            </w:r>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r w:rsidRPr="007971C8">
              <w:t xml:space="preserve">Moderna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mRNA (Pfizer and Moderna)</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1141763C" w:rsidR="0060281D" w:rsidRPr="00940804" w:rsidRDefault="00DE1768" w:rsidP="00C8036D">
      <w:r>
        <w:t xml:space="preserve">*Currently disaggregation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r w:rsidR="006536CA">
        <w:t xml:space="preserve">  </w:t>
      </w:r>
      <w:r w:rsidR="000D5DD9">
        <w:t>It is possible that a small number of women may have had more than 3 doses of vaccination, given ongoing roll out of additional booster doses for specified groups.  We will combine these with 3</w:t>
      </w:r>
      <w:r w:rsidR="000D5DD9" w:rsidRPr="00FC6B1B">
        <w:rPr>
          <w:vertAlign w:val="superscript"/>
        </w:rPr>
        <w:t>rd</w:t>
      </w:r>
      <w:r w:rsidR="000D5DD9">
        <w:t xml:space="preserve"> doses if required.</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7B8B3D5"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r w:rsidR="00104EF4">
        <w:t xml:space="preserve"> </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7B8E85F8"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0D5DD9">
              <w:rPr>
                <w:rFonts w:cs="Calibri"/>
                <w:color w:val="000000"/>
              </w:rPr>
              <w:t>[</w:t>
            </w:r>
            <w:r w:rsidR="00D37738">
              <w:rPr>
                <w:rFonts w:cs="Calibri"/>
                <w:color w:val="000000"/>
              </w:rPr>
              <w:t>exclud</w:t>
            </w:r>
            <w:r w:rsidR="000D5DD9">
              <w:rPr>
                <w:rFonts w:cs="Calibri"/>
                <w:color w:val="000000"/>
              </w:rPr>
              <w:t>ing</w:t>
            </w:r>
            <w:r w:rsidR="00D37738">
              <w:rPr>
                <w:rFonts w:cs="Calibri"/>
                <w:color w:val="000000"/>
              </w:rPr>
              <w:t xml:space="preserve"> diabetes</w:t>
            </w:r>
            <w:r w:rsidR="000D5DD9">
              <w:rPr>
                <w:rFonts w:cs="Calibri"/>
                <w:color w:val="000000"/>
              </w:rPr>
              <w:t>]</w:t>
            </w:r>
            <w:r w:rsidR="00D37738">
              <w:rPr>
                <w:rFonts w:cs="Calibri"/>
                <w:color w:val="000000"/>
              </w:rPr>
              <w:t xml:space="preserve">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If we only have a small number of women that are identified as having diabetes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0671E9" w14:paraId="60C1837A" w14:textId="77777777" w:rsidTr="00DA3860">
        <w:trPr>
          <w:trHeight w:val="20"/>
        </w:trPr>
        <w:tc>
          <w:tcPr>
            <w:tcW w:w="2136" w:type="dxa"/>
            <w:vMerge/>
          </w:tcPr>
          <w:p w14:paraId="6F658233" w14:textId="77777777" w:rsidR="000671E9" w:rsidRDefault="000671E9" w:rsidP="000671E9">
            <w:pPr>
              <w:spacing w:after="0" w:line="240" w:lineRule="auto"/>
            </w:pPr>
          </w:p>
        </w:tc>
        <w:tc>
          <w:tcPr>
            <w:tcW w:w="2402" w:type="dxa"/>
            <w:vAlign w:val="bottom"/>
          </w:tcPr>
          <w:p w14:paraId="2440CD93" w14:textId="048D7FCA" w:rsidR="000671E9" w:rsidRDefault="000671E9" w:rsidP="000671E9">
            <w:pPr>
              <w:pStyle w:val="CommentText"/>
              <w:spacing w:after="0"/>
              <w:contextualSpacing/>
              <w:rPr>
                <w:sz w:val="22"/>
                <w:szCs w:val="22"/>
              </w:rPr>
            </w:pPr>
            <w:r>
              <w:rPr>
                <w:sz w:val="22"/>
                <w:szCs w:val="22"/>
              </w:rPr>
              <w:t>Yes – gestational diabetes</w:t>
            </w:r>
          </w:p>
        </w:tc>
        <w:tc>
          <w:tcPr>
            <w:tcW w:w="4388" w:type="dxa"/>
            <w:vMerge/>
          </w:tcPr>
          <w:p w14:paraId="651B3B5E" w14:textId="77777777" w:rsidR="000671E9" w:rsidRDefault="000671E9" w:rsidP="000671E9">
            <w:pPr>
              <w:pStyle w:val="CommentText"/>
              <w:spacing w:after="0"/>
              <w:contextualSpacing/>
              <w:rPr>
                <w:sz w:val="22"/>
                <w:szCs w:val="22"/>
              </w:rPr>
            </w:pPr>
          </w:p>
        </w:tc>
      </w:tr>
      <w:tr w:rsidR="000671E9" w14:paraId="139E805F" w14:textId="77777777" w:rsidTr="00DA3860">
        <w:trPr>
          <w:trHeight w:val="20"/>
        </w:trPr>
        <w:tc>
          <w:tcPr>
            <w:tcW w:w="2136" w:type="dxa"/>
            <w:vMerge/>
          </w:tcPr>
          <w:p w14:paraId="3495831A" w14:textId="77777777" w:rsidR="000671E9" w:rsidRDefault="000671E9" w:rsidP="000671E9">
            <w:pPr>
              <w:spacing w:after="0" w:line="240" w:lineRule="auto"/>
            </w:pPr>
          </w:p>
        </w:tc>
        <w:tc>
          <w:tcPr>
            <w:tcW w:w="2402" w:type="dxa"/>
            <w:vAlign w:val="bottom"/>
          </w:tcPr>
          <w:p w14:paraId="66D34666" w14:textId="29FD4DE2" w:rsidR="000671E9" w:rsidRDefault="000671E9" w:rsidP="000671E9">
            <w:pPr>
              <w:pStyle w:val="CommentText"/>
              <w:spacing w:after="0"/>
              <w:contextualSpacing/>
              <w:rPr>
                <w:sz w:val="22"/>
                <w:szCs w:val="22"/>
              </w:rPr>
            </w:pPr>
            <w:r>
              <w:rPr>
                <w:sz w:val="22"/>
                <w:szCs w:val="22"/>
              </w:rPr>
              <w:t>Yes – diabetes onset unknown</w:t>
            </w:r>
          </w:p>
        </w:tc>
        <w:tc>
          <w:tcPr>
            <w:tcW w:w="4388" w:type="dxa"/>
            <w:vMerge/>
          </w:tcPr>
          <w:p w14:paraId="52409B9C" w14:textId="77777777" w:rsidR="000671E9" w:rsidRDefault="000671E9" w:rsidP="000671E9">
            <w:pPr>
              <w:pStyle w:val="CommentText"/>
              <w:spacing w:after="0"/>
              <w:contextualSpacing/>
              <w:rPr>
                <w:sz w:val="22"/>
                <w:szCs w:val="22"/>
              </w:rPr>
            </w:pPr>
          </w:p>
        </w:tc>
      </w:tr>
      <w:tr w:rsidR="000671E9" w14:paraId="22600FAB" w14:textId="77777777" w:rsidTr="00DA3860">
        <w:trPr>
          <w:trHeight w:val="20"/>
        </w:trPr>
        <w:tc>
          <w:tcPr>
            <w:tcW w:w="2136" w:type="dxa"/>
            <w:vMerge/>
          </w:tcPr>
          <w:p w14:paraId="2B9E2C40" w14:textId="77777777" w:rsidR="000671E9" w:rsidRDefault="000671E9" w:rsidP="000671E9">
            <w:pPr>
              <w:spacing w:after="0" w:line="240" w:lineRule="auto"/>
            </w:pPr>
          </w:p>
        </w:tc>
        <w:tc>
          <w:tcPr>
            <w:tcW w:w="2402" w:type="dxa"/>
            <w:vAlign w:val="bottom"/>
          </w:tcPr>
          <w:p w14:paraId="6E145556" w14:textId="7C07BA1E" w:rsidR="000671E9" w:rsidRDefault="000671E9" w:rsidP="000671E9">
            <w:pPr>
              <w:pStyle w:val="CommentText"/>
              <w:spacing w:after="0"/>
              <w:contextualSpacing/>
              <w:rPr>
                <w:sz w:val="22"/>
                <w:szCs w:val="22"/>
              </w:rPr>
            </w:pPr>
            <w:r>
              <w:rPr>
                <w:sz w:val="22"/>
                <w:szCs w:val="22"/>
              </w:rPr>
              <w:t>No diabetes</w:t>
            </w:r>
          </w:p>
        </w:tc>
        <w:tc>
          <w:tcPr>
            <w:tcW w:w="4388" w:type="dxa"/>
            <w:vMerge/>
          </w:tcPr>
          <w:p w14:paraId="1D1AA607" w14:textId="77777777" w:rsidR="000671E9" w:rsidRDefault="000671E9" w:rsidP="000671E9">
            <w:pPr>
              <w:pStyle w:val="CommentText"/>
              <w:spacing w:after="0"/>
              <w:contextualSpacing/>
              <w:rPr>
                <w:sz w:val="22"/>
                <w:szCs w:val="22"/>
              </w:rPr>
            </w:pPr>
          </w:p>
        </w:tc>
      </w:tr>
      <w:tr w:rsidR="000671E9" w14:paraId="0A44975C" w14:textId="77777777" w:rsidTr="00DA3860">
        <w:trPr>
          <w:trHeight w:val="20"/>
        </w:trPr>
        <w:tc>
          <w:tcPr>
            <w:tcW w:w="2136" w:type="dxa"/>
            <w:vMerge/>
          </w:tcPr>
          <w:p w14:paraId="1331AFF2" w14:textId="77777777" w:rsidR="000671E9" w:rsidRDefault="000671E9" w:rsidP="000671E9">
            <w:pPr>
              <w:spacing w:after="0" w:line="240" w:lineRule="auto"/>
            </w:pPr>
          </w:p>
        </w:tc>
        <w:tc>
          <w:tcPr>
            <w:tcW w:w="2402" w:type="dxa"/>
            <w:vAlign w:val="bottom"/>
          </w:tcPr>
          <w:p w14:paraId="7437890A" w14:textId="3C122470" w:rsidR="000671E9" w:rsidRDefault="000671E9" w:rsidP="000671E9">
            <w:pPr>
              <w:pStyle w:val="CommentText"/>
              <w:spacing w:after="0"/>
              <w:contextualSpacing/>
              <w:rPr>
                <w:sz w:val="22"/>
                <w:szCs w:val="22"/>
              </w:rPr>
            </w:pPr>
            <w:r>
              <w:rPr>
                <w:sz w:val="22"/>
                <w:szCs w:val="22"/>
              </w:rPr>
              <w:t xml:space="preserve">Unknown </w:t>
            </w:r>
          </w:p>
        </w:tc>
        <w:tc>
          <w:tcPr>
            <w:tcW w:w="4388" w:type="dxa"/>
            <w:vMerge/>
          </w:tcPr>
          <w:p w14:paraId="11913255" w14:textId="77777777" w:rsidR="000671E9" w:rsidRDefault="000671E9" w:rsidP="000671E9">
            <w:pPr>
              <w:pStyle w:val="CommentText"/>
              <w:spacing w:after="0"/>
              <w:contextualSpacing/>
              <w:rPr>
                <w:sz w:val="22"/>
                <w:szCs w:val="22"/>
              </w:rPr>
            </w:pPr>
          </w:p>
        </w:tc>
      </w:tr>
      <w:tr w:rsidR="000671E9" w14:paraId="7344665C" w14:textId="66F3FFD6" w:rsidTr="00DA3860">
        <w:trPr>
          <w:trHeight w:val="20"/>
        </w:trPr>
        <w:tc>
          <w:tcPr>
            <w:tcW w:w="2136" w:type="dxa"/>
          </w:tcPr>
          <w:p w14:paraId="5EF32540" w14:textId="23D47828" w:rsidR="000671E9" w:rsidRPr="00747A76" w:rsidRDefault="000671E9">
            <w:pPr>
              <w:spacing w:after="0" w:line="240" w:lineRule="auto"/>
            </w:pPr>
            <w:r w:rsidRPr="00747A76">
              <w:t>BMI</w:t>
            </w:r>
            <w:r>
              <w:t xml:space="preserve"> </w:t>
            </w:r>
          </w:p>
        </w:tc>
        <w:tc>
          <w:tcPr>
            <w:tcW w:w="2402" w:type="dxa"/>
            <w:vAlign w:val="bottom"/>
          </w:tcPr>
          <w:p w14:paraId="59BDD1AD" w14:textId="77777777" w:rsidR="000671E9" w:rsidRPr="00747A76" w:rsidRDefault="000671E9" w:rsidP="000671E9">
            <w:pPr>
              <w:pStyle w:val="CommentText"/>
              <w:spacing w:after="0"/>
              <w:contextualSpacing/>
              <w:rPr>
                <w:sz w:val="22"/>
                <w:szCs w:val="22"/>
              </w:rPr>
            </w:pPr>
            <w:r w:rsidRPr="00747A76">
              <w:rPr>
                <w:sz w:val="22"/>
                <w:szCs w:val="22"/>
              </w:rPr>
              <w:t>Underweight (&lt;18.5)</w:t>
            </w:r>
          </w:p>
          <w:p w14:paraId="6221C1C5" w14:textId="77777777" w:rsidR="000671E9" w:rsidRPr="00747A76" w:rsidRDefault="000671E9" w:rsidP="000671E9">
            <w:pPr>
              <w:pStyle w:val="CommentText"/>
              <w:spacing w:after="0"/>
              <w:contextualSpacing/>
              <w:rPr>
                <w:sz w:val="22"/>
                <w:szCs w:val="22"/>
              </w:rPr>
            </w:pPr>
            <w:r w:rsidRPr="00747A76">
              <w:rPr>
                <w:sz w:val="22"/>
                <w:szCs w:val="22"/>
              </w:rPr>
              <w:t>Healthy weight (18.5-&lt;25)</w:t>
            </w:r>
          </w:p>
          <w:p w14:paraId="4413A04C" w14:textId="77777777" w:rsidR="000671E9" w:rsidRPr="00747A76" w:rsidRDefault="000671E9" w:rsidP="000671E9">
            <w:pPr>
              <w:pStyle w:val="CommentText"/>
              <w:spacing w:after="0"/>
              <w:contextualSpacing/>
              <w:rPr>
                <w:sz w:val="22"/>
                <w:szCs w:val="22"/>
              </w:rPr>
            </w:pPr>
            <w:r w:rsidRPr="00747A76">
              <w:rPr>
                <w:sz w:val="22"/>
                <w:szCs w:val="22"/>
              </w:rPr>
              <w:t>Overweight (25-&lt;30)</w:t>
            </w:r>
          </w:p>
          <w:p w14:paraId="5B522428" w14:textId="6098D977" w:rsidR="000671E9" w:rsidRPr="00747A76" w:rsidRDefault="000671E9" w:rsidP="000671E9">
            <w:pPr>
              <w:pStyle w:val="CommentText"/>
              <w:spacing w:after="0"/>
              <w:contextualSpacing/>
              <w:rPr>
                <w:sz w:val="22"/>
                <w:szCs w:val="22"/>
              </w:rPr>
            </w:pPr>
            <w:r w:rsidRPr="00747A76">
              <w:rPr>
                <w:sz w:val="22"/>
                <w:szCs w:val="22"/>
              </w:rPr>
              <w:t>Obese (30-&lt;40) or severely obese (≥40)</w:t>
            </w:r>
          </w:p>
          <w:p w14:paraId="30E8EFCD" w14:textId="605935B2" w:rsidR="000671E9" w:rsidRPr="00747A76" w:rsidRDefault="000671E9" w:rsidP="000671E9">
            <w:pPr>
              <w:pStyle w:val="CommentText"/>
              <w:spacing w:after="0"/>
              <w:contextualSpacing/>
              <w:rPr>
                <w:rFonts w:cs="Calibri"/>
                <w:color w:val="000000"/>
                <w:sz w:val="22"/>
                <w:szCs w:val="22"/>
              </w:rPr>
            </w:pPr>
            <w:r w:rsidRPr="00747A76">
              <w:rPr>
                <w:sz w:val="22"/>
                <w:szCs w:val="22"/>
              </w:rPr>
              <w:t>Unknown</w:t>
            </w:r>
          </w:p>
        </w:tc>
        <w:tc>
          <w:tcPr>
            <w:tcW w:w="4388" w:type="dxa"/>
          </w:tcPr>
          <w:p w14:paraId="1DE82A40" w14:textId="77777777" w:rsidR="000671E9" w:rsidRDefault="000671E9" w:rsidP="000671E9">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w:t>
            </w:r>
          </w:p>
          <w:p w14:paraId="18B7E74B" w14:textId="77777777" w:rsidR="000671E9" w:rsidRDefault="000671E9" w:rsidP="000671E9">
            <w:pPr>
              <w:pStyle w:val="CommentText"/>
              <w:spacing w:after="0"/>
              <w:contextualSpacing/>
              <w:rPr>
                <w:sz w:val="22"/>
                <w:szCs w:val="22"/>
              </w:rPr>
            </w:pPr>
          </w:p>
          <w:p w14:paraId="39AAB193" w14:textId="5FE1E2F3" w:rsidR="000671E9" w:rsidRPr="00747A76" w:rsidRDefault="000671E9">
            <w:pPr>
              <w:pStyle w:val="CommentText"/>
              <w:spacing w:after="0"/>
              <w:contextualSpacing/>
              <w:rPr>
                <w:sz w:val="22"/>
                <w:szCs w:val="22"/>
              </w:rPr>
            </w:pPr>
            <w:r>
              <w:rPr>
                <w:sz w:val="22"/>
                <w:szCs w:val="22"/>
              </w:rPr>
              <w:t xml:space="preserve">Data will be taken from </w:t>
            </w:r>
            <w:r w:rsidR="000D5DD9">
              <w:rPr>
                <w:sz w:val="22"/>
                <w:szCs w:val="22"/>
              </w:rPr>
              <w:t>SMR02 delivery</w:t>
            </w:r>
            <w:r>
              <w:rPr>
                <w:sz w:val="22"/>
                <w:szCs w:val="22"/>
              </w:rPr>
              <w:t xml:space="preserve"> records where possible</w:t>
            </w:r>
            <w:r w:rsidR="000D5DD9">
              <w:rPr>
                <w:sz w:val="22"/>
                <w:szCs w:val="22"/>
              </w:rPr>
              <w:t xml:space="preserve"> (which provide information on height and weight at antenatal booking)</w:t>
            </w:r>
            <w:r>
              <w:rPr>
                <w:sz w:val="22"/>
                <w:szCs w:val="22"/>
              </w:rPr>
              <w:t xml:space="preserve">; if this is not available then data will be extracted from </w:t>
            </w:r>
            <w:r w:rsidR="00553E02">
              <w:rPr>
                <w:sz w:val="22"/>
                <w:szCs w:val="22"/>
              </w:rPr>
              <w:t xml:space="preserve">recent </w:t>
            </w:r>
            <w:r>
              <w:rPr>
                <w:sz w:val="22"/>
                <w:szCs w:val="22"/>
              </w:rPr>
              <w:t xml:space="preserve">GP records.  </w:t>
            </w:r>
          </w:p>
        </w:tc>
      </w:tr>
      <w:tr w:rsidR="000671E9" w14:paraId="74C61900" w14:textId="646B1F67" w:rsidTr="00DA3860">
        <w:trPr>
          <w:trHeight w:val="20"/>
        </w:trPr>
        <w:tc>
          <w:tcPr>
            <w:tcW w:w="2136" w:type="dxa"/>
            <w:vMerge w:val="restart"/>
          </w:tcPr>
          <w:p w14:paraId="2217BDED" w14:textId="595A77D5" w:rsidR="000671E9" w:rsidRPr="00747A76" w:rsidRDefault="000671E9">
            <w:pPr>
              <w:spacing w:after="0" w:line="240" w:lineRule="auto"/>
            </w:pPr>
            <w:r w:rsidRPr="00747A76">
              <w:t>Smoking</w:t>
            </w:r>
            <w:r>
              <w:t xml:space="preserve"> </w:t>
            </w:r>
          </w:p>
        </w:tc>
        <w:tc>
          <w:tcPr>
            <w:tcW w:w="2402" w:type="dxa"/>
            <w:vAlign w:val="bottom"/>
          </w:tcPr>
          <w:p w14:paraId="03DDF329" w14:textId="57A38AD5" w:rsidR="000671E9" w:rsidRPr="00747A76" w:rsidRDefault="000671E9" w:rsidP="000671E9">
            <w:pPr>
              <w:spacing w:after="0" w:line="240" w:lineRule="auto"/>
              <w:rPr>
                <w:rFonts w:cs="Calibri"/>
                <w:color w:val="000000"/>
              </w:rPr>
            </w:pPr>
            <w:r w:rsidRPr="00747A76">
              <w:rPr>
                <w:rFonts w:cs="Calibri"/>
                <w:color w:val="000000"/>
              </w:rPr>
              <w:t>Yes - current</w:t>
            </w:r>
          </w:p>
        </w:tc>
        <w:tc>
          <w:tcPr>
            <w:tcW w:w="4388" w:type="dxa"/>
            <w:vMerge w:val="restart"/>
          </w:tcPr>
          <w:p w14:paraId="7CA0ABCC" w14:textId="3CBC35E7" w:rsidR="000671E9" w:rsidRPr="00747A76" w:rsidRDefault="000671E9">
            <w:pPr>
              <w:spacing w:after="0" w:line="240" w:lineRule="auto"/>
              <w:rPr>
                <w:rFonts w:cs="Calibri"/>
                <w:color w:val="000000"/>
              </w:rPr>
            </w:pPr>
            <w:r>
              <w:t xml:space="preserve">Data will be taken from </w:t>
            </w:r>
            <w:r w:rsidR="000D5DD9">
              <w:t>SMR02 delivery</w:t>
            </w:r>
            <w:r>
              <w:t xml:space="preserve"> records where possible</w:t>
            </w:r>
            <w:r w:rsidR="00711785">
              <w:t xml:space="preserve"> (which provide information on smoking status at antenatal booking)</w:t>
            </w:r>
            <w:r>
              <w:t xml:space="preserve">; if this is not available then data will be extracted from </w:t>
            </w:r>
            <w:r w:rsidR="00553E02">
              <w:t xml:space="preserve">recent </w:t>
            </w:r>
            <w:r>
              <w:t xml:space="preserve">GP records.  </w:t>
            </w:r>
          </w:p>
        </w:tc>
      </w:tr>
      <w:tr w:rsidR="000671E9" w14:paraId="34AB7D43" w14:textId="77777777" w:rsidTr="00DA3860">
        <w:trPr>
          <w:trHeight w:val="20"/>
        </w:trPr>
        <w:tc>
          <w:tcPr>
            <w:tcW w:w="2136" w:type="dxa"/>
            <w:vMerge/>
          </w:tcPr>
          <w:p w14:paraId="67F48F12" w14:textId="77777777" w:rsidR="000671E9" w:rsidRDefault="000671E9" w:rsidP="000671E9">
            <w:pPr>
              <w:spacing w:after="0" w:line="240" w:lineRule="auto"/>
            </w:pPr>
          </w:p>
        </w:tc>
        <w:tc>
          <w:tcPr>
            <w:tcW w:w="2402" w:type="dxa"/>
            <w:vAlign w:val="bottom"/>
          </w:tcPr>
          <w:p w14:paraId="2C218D77" w14:textId="14B55331" w:rsidR="000671E9" w:rsidRDefault="000671E9" w:rsidP="000671E9">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0671E9" w:rsidRDefault="000671E9" w:rsidP="000671E9">
            <w:pPr>
              <w:spacing w:after="0" w:line="240" w:lineRule="auto"/>
              <w:rPr>
                <w:rFonts w:ascii="Calibri" w:hAnsi="Calibri" w:cs="Calibri"/>
                <w:color w:val="000000"/>
              </w:rPr>
            </w:pPr>
          </w:p>
        </w:tc>
      </w:tr>
      <w:tr w:rsidR="000671E9" w14:paraId="1D874F2B" w14:textId="3AEBBB34" w:rsidTr="00DA3860">
        <w:trPr>
          <w:trHeight w:val="20"/>
        </w:trPr>
        <w:tc>
          <w:tcPr>
            <w:tcW w:w="2136" w:type="dxa"/>
            <w:vMerge/>
          </w:tcPr>
          <w:p w14:paraId="6EB9FC2C" w14:textId="77777777" w:rsidR="000671E9" w:rsidRDefault="000671E9" w:rsidP="000671E9">
            <w:pPr>
              <w:spacing w:after="0" w:line="240" w:lineRule="auto"/>
            </w:pPr>
          </w:p>
        </w:tc>
        <w:tc>
          <w:tcPr>
            <w:tcW w:w="2402" w:type="dxa"/>
            <w:vAlign w:val="bottom"/>
          </w:tcPr>
          <w:p w14:paraId="700C28D4" w14:textId="399FC36C" w:rsidR="000671E9" w:rsidRDefault="000671E9" w:rsidP="000671E9">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0671E9" w:rsidRDefault="000671E9" w:rsidP="000671E9">
            <w:pPr>
              <w:spacing w:after="0" w:line="240" w:lineRule="auto"/>
              <w:rPr>
                <w:rFonts w:ascii="Calibri" w:hAnsi="Calibri" w:cs="Calibri"/>
                <w:color w:val="000000"/>
              </w:rPr>
            </w:pPr>
          </w:p>
        </w:tc>
      </w:tr>
      <w:tr w:rsidR="000671E9" w14:paraId="27540CDC" w14:textId="51CC4E20" w:rsidTr="00DA3860">
        <w:trPr>
          <w:trHeight w:val="20"/>
        </w:trPr>
        <w:tc>
          <w:tcPr>
            <w:tcW w:w="2136" w:type="dxa"/>
            <w:vMerge/>
          </w:tcPr>
          <w:p w14:paraId="6AF4EBBA" w14:textId="77777777" w:rsidR="000671E9" w:rsidRDefault="000671E9" w:rsidP="000671E9">
            <w:pPr>
              <w:spacing w:after="0" w:line="240" w:lineRule="auto"/>
            </w:pPr>
          </w:p>
        </w:tc>
        <w:tc>
          <w:tcPr>
            <w:tcW w:w="2402" w:type="dxa"/>
            <w:vAlign w:val="bottom"/>
          </w:tcPr>
          <w:p w14:paraId="510426DF" w14:textId="77777777" w:rsidR="000671E9" w:rsidRDefault="000671E9" w:rsidP="000671E9">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0671E9" w:rsidRDefault="000671E9" w:rsidP="000671E9">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will be collapsed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include,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 xml:space="preserve">pregnancy-related complications (e.g.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dditional analyses will be conducted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Gestational diabetes was cons</w:t>
      </w:r>
      <w:r w:rsidR="00F74B3F">
        <w:t xml:space="preserve">idered as an exception to this </w:t>
      </w:r>
      <w:r w:rsidR="00C2201B">
        <w:t>and included as a covariate</w:t>
      </w:r>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t>3.</w:t>
      </w:r>
      <w:r w:rsidR="0012645B">
        <w:t>6</w:t>
      </w:r>
      <w:r w:rsidR="003A38BE">
        <w:t>: Cohort study matching</w:t>
      </w:r>
    </w:p>
    <w:p w14:paraId="01D775F0" w14:textId="56B8AACF"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 xml:space="preserve">Only </w:t>
      </w:r>
      <w:r w:rsidR="00A3019C">
        <w:lastRenderedPageBreak/>
        <w:t>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weeks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Different pregnancies from a single woman can be matched to different cases, and if a case had a pregnancy in the pre-pandemic period, that pregnancy is a valid control</w:t>
      </w:r>
      <w:r w:rsidR="00D57067" w:rsidRPr="00D57067">
        <w:t>,</w:t>
      </w:r>
      <w:r w:rsidR="004304F0" w:rsidRPr="00D57067">
        <w:t xml:space="preserve"> as long 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A </w:t>
      </w:r>
      <w:r w:rsidR="00FD1D62">
        <w:t>sensitivity</w:t>
      </w:r>
      <w:r w:rsidR="00AE62DF">
        <w:t xml:space="preserve"> analysis will be conducted, </w:t>
      </w:r>
      <w:r w:rsidR="00FD1D62">
        <w:t xml:space="preserve">removing women who are vaccinated in the six weeks preconception – and her controls – from the analysis. </w:t>
      </w:r>
    </w:p>
    <w:p w14:paraId="05299AE4" w14:textId="330840F2"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s will be conducted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weeks preconception to the end of the outcome-specific </w:t>
      </w:r>
      <w:r w:rsidR="00F94B48">
        <w:t>follow-up</w:t>
      </w:r>
      <w:r w:rsidR="00FD1D62">
        <w:t xml:space="preserve"> period</w:t>
      </w:r>
      <w:r w:rsidR="00B14235">
        <w:t>.</w:t>
      </w:r>
      <w:r w:rsidR="00A242E6" w:rsidRPr="008A5A42">
        <w:t xml:space="preserve"> </w:t>
      </w:r>
      <w:r w:rsidR="005D3A96">
        <w:t xml:space="preserve">However, given that there is potential for vaccination to impact on maternal, pregnancy and neonatal outcomes by changing the risks of acquiring COVID-19 and experiencing severe illness, we </w:t>
      </w:r>
      <w:r w:rsidR="00367B85">
        <w:t xml:space="preserve">will also conduct a second supplementary </w:t>
      </w:r>
      <w:r w:rsidR="00C00CEA">
        <w:t xml:space="preserve">analysis </w:t>
      </w:r>
      <w:r w:rsidR="00367B85">
        <w:t>with pregnant unvaccinated controls from the pandemic</w:t>
      </w:r>
      <w:r w:rsidR="005D3A96">
        <w:t>. In this, we will</w:t>
      </w:r>
      <w:r w:rsidR="00367B85">
        <w:t xml:space="preserve"> </w:t>
      </w:r>
      <w:r w:rsidR="00B14235">
        <w:t xml:space="preserve">retain </w:t>
      </w:r>
      <w:r w:rsidR="00D02DFA">
        <w:t xml:space="preserve">both vaccinated and unvaccinated </w:t>
      </w:r>
      <w:r w:rsidR="00B14235">
        <w:t xml:space="preserve">women </w:t>
      </w:r>
      <w:r w:rsidR="00C00CEA">
        <w:t xml:space="preserve">with </w:t>
      </w:r>
      <w:r w:rsidR="00B14235">
        <w:t xml:space="preserve">a </w:t>
      </w:r>
      <w:r w:rsidR="00367B85">
        <w:t xml:space="preserve">confirmed </w:t>
      </w:r>
      <w:r w:rsidR="00B14235">
        <w:t xml:space="preserve">record of COVID-19 infection during pregnancy and preceding the end of the </w:t>
      </w:r>
      <w:r w:rsidR="005D3A96">
        <w:t xml:space="preserve">outcome-specific </w:t>
      </w:r>
      <w:r w:rsidR="00F94B48">
        <w:t>follow-up</w:t>
      </w:r>
      <w:r w:rsidR="005D3A96">
        <w:t xml:space="preserve"> period</w:t>
      </w:r>
      <w:r w:rsidR="00B14235">
        <w:t xml:space="preserve">. </w:t>
      </w:r>
      <w:r w:rsidR="00B626DC">
        <w:t>For</w:t>
      </w:r>
      <w:r w:rsidR="00B14235">
        <w:t xml:space="preserve"> both</w:t>
      </w:r>
      <w:r w:rsidR="00B626DC">
        <w:t xml:space="preserve"> th</w:t>
      </w:r>
      <w:r w:rsidR="00B14235">
        <w:t>e</w:t>
      </w:r>
      <w:r w:rsidR="00B626DC">
        <w:t>s</w:t>
      </w:r>
      <w:r w:rsidR="00B14235">
        <w:t>e</w:t>
      </w:r>
      <w:r w:rsidR="00B626DC">
        <w:t xml:space="preserve"> supplementary analys</w:t>
      </w:r>
      <w:r w:rsidR="00B14235">
        <w:t>e</w:t>
      </w:r>
      <w:r w:rsidR="00B626DC">
        <w:t>s, 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pre-‘pregnancy’).</w:t>
      </w:r>
      <w:r w:rsidR="00B14235">
        <w:t xml:space="preserve"> </w:t>
      </w:r>
      <w:r w:rsidR="00A3019C">
        <w:t xml:space="preserve">Additional supplementary analyses removing women who are vaccinated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p>
    <w:p w14:paraId="03713078" w14:textId="1F38D73A" w:rsidR="006C08DE" w:rsidRDefault="00B37201" w:rsidP="00A15D0B">
      <w:pPr>
        <w:spacing w:line="276" w:lineRule="auto"/>
      </w:pPr>
      <w:r>
        <w:t xml:space="preserve">Maternal and gestational age are known to be important risk factors </w:t>
      </w:r>
      <w:r w:rsidR="001F1CC1">
        <w:t>for</w:t>
      </w:r>
      <w:r>
        <w:t xml:space="preserve"> adverse events in pregnancy (e.g.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r w:rsidR="00AB20B6">
        <w:t>In addition, vaccinated pregnant women will also be matched by season of conception (quarter) to historical controls from the pre-pandemic period</w:t>
      </w:r>
      <w:r w:rsidR="002E35ED">
        <w:t xml:space="preserve"> due to the seasonality of some ou</w:t>
      </w:r>
      <w:r w:rsidR="00AB20B6">
        <w:t xml:space="preserve">tcomes. </w:t>
      </w:r>
      <w:r w:rsidR="00FC6B1B">
        <w:t xml:space="preserve">We will prioritise matching by maternal age and gestational age for the </w:t>
      </w:r>
      <w:r w:rsidR="006C08DE">
        <w:t>contemporary controls (from the pandemic vaccination period)</w:t>
      </w:r>
      <w:r w:rsidR="00FC6B1B">
        <w:t xml:space="preserve"> and, if there </w:t>
      </w:r>
      <w:r w:rsidR="00C25174">
        <w:t>are</w:t>
      </w:r>
      <w:r w:rsidR="00FC6B1B">
        <w:t xml:space="preserve"> sufficient number</w:t>
      </w:r>
      <w:r w:rsidR="00C25174">
        <w:t>s</w:t>
      </w:r>
      <w:r w:rsidR="00FC6B1B">
        <w:t xml:space="preserve"> of unvaccinated women in the pandemic period, also by date of conception or season of conception. </w:t>
      </w:r>
      <w:r w:rsidR="006C08DE">
        <w:t xml:space="preserve"> </w:t>
      </w:r>
    </w:p>
    <w:p w14:paraId="0B730A73" w14:textId="40E973CA" w:rsidR="005669C8" w:rsidRPr="004272DE" w:rsidRDefault="000E2187" w:rsidP="00A15D0B">
      <w:pPr>
        <w:spacing w:line="276" w:lineRule="auto"/>
      </w:pPr>
      <w:r>
        <w:lastRenderedPageBreak/>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is shown in Table </w:t>
      </w:r>
      <w:r w:rsidR="00A21A7A">
        <w:t>5</w:t>
      </w:r>
      <w:r w:rsidRPr="004272DE">
        <w:t>.</w:t>
      </w:r>
    </w:p>
    <w:p w14:paraId="05FE7932" w14:textId="7CA10235" w:rsidR="005669C8" w:rsidRPr="00DD4FE7" w:rsidRDefault="005669C8" w:rsidP="00DD4FE7">
      <w:pPr>
        <w:pStyle w:val="Caption"/>
        <w:rPr>
          <w:sz w:val="22"/>
        </w:rPr>
      </w:pPr>
      <w:r w:rsidRPr="00DD4FE7">
        <w:rPr>
          <w:sz w:val="22"/>
        </w:rPr>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77777777" w:rsidR="00B626DC" w:rsidRDefault="00B626DC" w:rsidP="00B626DC">
            <w:pPr>
              <w:spacing w:line="276" w:lineRule="auto"/>
            </w:pPr>
            <w:r>
              <w:t>Supplementary analysis 1</w:t>
            </w:r>
          </w:p>
        </w:tc>
        <w:tc>
          <w:tcPr>
            <w:tcW w:w="2810" w:type="dxa"/>
          </w:tcPr>
          <w:p w14:paraId="7B107E02" w14:textId="1D59906C"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outcome</w:t>
            </w:r>
            <w:r w:rsidR="00D63E85">
              <w:t>-specif</w:t>
            </w:r>
            <w:r w:rsidR="00522D24">
              <w:t>i</w:t>
            </w:r>
            <w:r w:rsidR="00D63E85">
              <w:t>c</w:t>
            </w:r>
            <w:r w:rsidR="0095700C">
              <w:t xml:space="preserve"> </w:t>
            </w:r>
            <w:r w:rsidR="00A3019C">
              <w:t>follow-up</w:t>
            </w:r>
            <w:r w:rsidR="0095700C">
              <w:t xml:space="preserv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r w:rsidR="005669C8" w14:paraId="75536737" w14:textId="77777777" w:rsidTr="00961E13">
        <w:trPr>
          <w:trHeight w:val="207"/>
        </w:trPr>
        <w:tc>
          <w:tcPr>
            <w:tcW w:w="1580" w:type="dxa"/>
          </w:tcPr>
          <w:p w14:paraId="178D1EA0" w14:textId="77777777" w:rsidR="005669C8" w:rsidRDefault="005669C8" w:rsidP="00373F18">
            <w:pPr>
              <w:spacing w:line="276" w:lineRule="auto"/>
            </w:pPr>
            <w:r>
              <w:t>Supplementary analysis 2</w:t>
            </w:r>
          </w:p>
        </w:tc>
        <w:tc>
          <w:tcPr>
            <w:tcW w:w="2810" w:type="dxa"/>
          </w:tcPr>
          <w:p w14:paraId="1BDCACA1" w14:textId="07E49E55" w:rsidR="005669C8" w:rsidRDefault="005669C8"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7E491C">
              <w:t xml:space="preserve">including </w:t>
            </w:r>
            <w:r w:rsidR="00F0730B" w:rsidRPr="00F0730B">
              <w:t>cases and controls with confirmed COVID-19 between six weeks preconception to end of outcome-specific follow-up period</w:t>
            </w:r>
          </w:p>
        </w:tc>
        <w:tc>
          <w:tcPr>
            <w:tcW w:w="2976" w:type="dxa"/>
          </w:tcPr>
          <w:p w14:paraId="10C14A46" w14:textId="77777777" w:rsidR="005669C8" w:rsidRDefault="005669C8" w:rsidP="005669C8">
            <w:pPr>
              <w:pStyle w:val="ListParagraph"/>
              <w:numPr>
                <w:ilvl w:val="0"/>
                <w:numId w:val="19"/>
              </w:numPr>
              <w:spacing w:line="276" w:lineRule="auto"/>
              <w:ind w:left="454"/>
            </w:pPr>
            <w:r>
              <w:t>Maternal age</w:t>
            </w:r>
          </w:p>
          <w:p w14:paraId="624B1168" w14:textId="77777777" w:rsidR="005669C8" w:rsidRDefault="005669C8" w:rsidP="005669C8">
            <w:pPr>
              <w:pStyle w:val="ListParagraph"/>
              <w:numPr>
                <w:ilvl w:val="0"/>
                <w:numId w:val="19"/>
              </w:numPr>
              <w:spacing w:line="276" w:lineRule="auto"/>
              <w:ind w:left="454"/>
            </w:pPr>
            <w:r>
              <w:t>Gestational age</w:t>
            </w:r>
          </w:p>
        </w:tc>
        <w:tc>
          <w:tcPr>
            <w:tcW w:w="2835" w:type="dxa"/>
            <w:vMerge/>
          </w:tcPr>
          <w:p w14:paraId="74E7A289" w14:textId="77777777" w:rsidR="005669C8" w:rsidRDefault="005669C8" w:rsidP="005669C8">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 xml:space="preserve">set </w:t>
      </w:r>
      <w:r w:rsidR="00CA607F">
        <w:lastRenderedPageBreak/>
        <w:t>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By convention, 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145C2F">
      <w:pPr>
        <w:rPr>
          <w:rStyle w:val="Heading1Char"/>
        </w:rPr>
      </w:pPr>
    </w:p>
    <w:p w14:paraId="4CDF739D" w14:textId="6094A399" w:rsidR="00373498" w:rsidRDefault="00A7669F" w:rsidP="00CD6805">
      <w:pPr>
        <w:pStyle w:val="Heading1"/>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04E0838A" w:rsidR="001E4212" w:rsidRDefault="00841A9F" w:rsidP="001E4212">
      <w:pPr>
        <w:pStyle w:val="Heading2"/>
      </w:pPr>
      <w:r>
        <w:t>4.</w:t>
      </w:r>
      <w:r w:rsidR="00AC69F5">
        <w:t>1</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will be described. 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 xml:space="preserve">explore plausibility of gaps or </w:t>
      </w:r>
      <w:r w:rsidRPr="00726618">
        <w:lastRenderedPageBreak/>
        <w:t>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5E6A163B" w:rsidR="001E680B" w:rsidRDefault="00841A9F" w:rsidP="00FA460E">
      <w:pPr>
        <w:pStyle w:val="Heading2"/>
      </w:pPr>
      <w:r>
        <w:t>4.</w:t>
      </w:r>
      <w:r w:rsidR="00AC69F5">
        <w:t>2</w:t>
      </w:r>
      <w:r>
        <w:t xml:space="preserve">: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r w:rsidR="00DD4FE7">
        <w:t xml:space="preserve">e.g. </w:t>
      </w:r>
      <w:r w:rsidR="000709F2" w:rsidRPr="000B1E0C">
        <w:t>Benjamini and Hochberg</w:t>
      </w:r>
      <w:r w:rsidR="000709F2">
        <w:t>)</w:t>
      </w:r>
      <w:r>
        <w:t>.</w:t>
      </w:r>
    </w:p>
    <w:p w14:paraId="14F5A804" w14:textId="068A719C" w:rsidR="00344C1C" w:rsidRPr="00DE3376" w:rsidRDefault="00344C1C" w:rsidP="00344C1C">
      <w:pPr>
        <w:spacing w:line="276" w:lineRule="auto"/>
      </w:pPr>
      <w:r>
        <w:t>The exception will be f</w:t>
      </w:r>
      <w:r w:rsidRPr="00DE3376">
        <w:t>or pregnancy outcomes where there is a competing risk</w:t>
      </w:r>
      <w:r>
        <w:t xml:space="preserve"> (i.e.</w:t>
      </w:r>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will be examined using </w:t>
      </w:r>
      <w:r w:rsidR="00626B91" w:rsidRPr="00857B63">
        <w:t xml:space="preserve">conditional </w:t>
      </w:r>
      <w:r w:rsidRPr="00857B63">
        <w:t>m</w:t>
      </w:r>
      <w:r w:rsidR="004B37FC">
        <w:t xml:space="preserve">ultinomial logistic 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1AB93372" w:rsidR="000A2750" w:rsidRDefault="00BB23E2" w:rsidP="008C32D7">
      <w:pPr>
        <w:spacing w:after="0" w:line="276" w:lineRule="auto"/>
      </w:pPr>
      <w:r>
        <w:t>First, a model with no covariates will be fitted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(Table 4)</w:t>
      </w:r>
      <w:r w:rsidR="00726618" w:rsidRPr="00DE3376">
        <w:t>.</w:t>
      </w:r>
      <w:r w:rsidR="00104EF4">
        <w:t xml:space="preserve"> The exception to this will be for early pregnancy outcomes, where we will not include c</w:t>
      </w:r>
      <w:r w:rsidR="00104EF4">
        <w:t>ovariates that rely on data from SMR02 delivery records (i.e. BMI, smoking status and diabetes)</w:t>
      </w:r>
      <w:r w:rsidR="00104EF4">
        <w:t xml:space="preserve"> in the models</w:t>
      </w:r>
      <w:r w:rsidR="00104EF4">
        <w:t xml:space="preserve"> as these will have high levels of missing data for these</w:t>
      </w:r>
      <w:r w:rsidR="00104EF4">
        <w:t xml:space="preserve"> outcomes of interest.</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5792B99C"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xml:space="preserve">, and then in sub-group analyses stratified by vaccine classes </w:t>
      </w:r>
      <w:r>
        <w:t xml:space="preserve">and </w:t>
      </w:r>
      <w:r w:rsidRPr="00DE3376">
        <w:t>in</w:t>
      </w:r>
      <w:r>
        <w:t>dividual vaccine types;</w:t>
      </w:r>
    </w:p>
    <w:p w14:paraId="0889DF13" w14:textId="77777777" w:rsidR="00BB23E2" w:rsidRDefault="00BB23E2" w:rsidP="00BB23E2">
      <w:pPr>
        <w:pStyle w:val="ListParagraph"/>
        <w:numPr>
          <w:ilvl w:val="0"/>
          <w:numId w:val="12"/>
        </w:numPr>
        <w:spacing w:line="276" w:lineRule="auto"/>
        <w:ind w:left="709"/>
      </w:pPr>
      <w:r>
        <w:t>Vaccine type: Pfizer, AstraZeneca, Moderna, Janssen</w:t>
      </w:r>
    </w:p>
    <w:p w14:paraId="2C3FA328" w14:textId="77777777" w:rsidR="00BB23E2" w:rsidRDefault="00BB23E2" w:rsidP="00BB23E2">
      <w:pPr>
        <w:pStyle w:val="ListParagraph"/>
        <w:numPr>
          <w:ilvl w:val="0"/>
          <w:numId w:val="12"/>
        </w:numPr>
        <w:spacing w:line="276" w:lineRule="auto"/>
        <w:ind w:left="709"/>
      </w:pPr>
      <w:r>
        <w:t>Vaccine group: Pfizer and Moderna (mRNA); AstraZeneca and Janssen ((adeno)virus vector)</w:t>
      </w:r>
    </w:p>
    <w:p w14:paraId="2062F248" w14:textId="441CDB84" w:rsidR="00BB23E2" w:rsidRDefault="005E5390" w:rsidP="00BB23E2">
      <w:pPr>
        <w:pStyle w:val="ListParagraph"/>
        <w:numPr>
          <w:ilvl w:val="0"/>
          <w:numId w:val="12"/>
        </w:numPr>
        <w:spacing w:line="276" w:lineRule="auto"/>
        <w:ind w:left="709"/>
      </w:pPr>
      <w:r>
        <w:t>Total</w:t>
      </w:r>
      <w:r w:rsidR="00145C2F">
        <w:t xml:space="preserve"> number </w:t>
      </w:r>
      <w:r w:rsidR="00BB23E2">
        <w:t>of vaccine doses</w:t>
      </w:r>
      <w:r w:rsidR="00145C2F">
        <w:t xml:space="preserve"> </w:t>
      </w:r>
      <w:r>
        <w:t xml:space="preserve">received </w:t>
      </w:r>
      <w:r w:rsidR="00145C2F">
        <w:t>in the exposure period (i.e. one dose only, two doses, three doses)</w:t>
      </w:r>
    </w:p>
    <w:p w14:paraId="23449575" w14:textId="0DE202FD" w:rsidR="00F940CC" w:rsidRPr="00DE3376" w:rsidRDefault="00F940CC" w:rsidP="002D51AF">
      <w:pPr>
        <w:spacing w:line="276" w:lineRule="auto"/>
      </w:pPr>
      <w:r>
        <w:t>Our main analyses will include all pregnancies/births, regardless of whether there is evidence that it was singleton or multiple, with sensitivity analyses conducted restricting to only pregnancies/births</w:t>
      </w:r>
      <w:r w:rsidR="009A34FF">
        <w:t xml:space="preserve"> where there was no evidence it was a multiple. </w:t>
      </w:r>
      <w:r w:rsidR="003D04B5">
        <w:t xml:space="preserve">We often do not know whether pregnancies which end early </w:t>
      </w:r>
      <w:r w:rsidR="0088773D">
        <w:t xml:space="preserve">(e.g. due to miscarriage) </w:t>
      </w:r>
      <w:r w:rsidR="003D04B5">
        <w:t xml:space="preserve">were </w:t>
      </w:r>
      <w:r w:rsidR="0088773D">
        <w:t xml:space="preserve">singleton or </w:t>
      </w:r>
      <w:r w:rsidR="003D04B5">
        <w:t xml:space="preserve">multiple, hence the decision to only </w:t>
      </w:r>
      <w:r w:rsidR="0088773D">
        <w:t>include</w:t>
      </w:r>
      <w:r w:rsidR="003D04B5">
        <w:t xml:space="preserve"> </w:t>
      </w:r>
      <w:r w:rsidR="003D04B5">
        <w:lastRenderedPageBreak/>
        <w:t xml:space="preserve">pregnancies with </w:t>
      </w:r>
      <w:r w:rsidR="003D04B5" w:rsidRPr="003D04B5">
        <w:rPr>
          <w:i/>
        </w:rPr>
        <w:t>no evidence</w:t>
      </w:r>
      <w:r w:rsidR="003D04B5">
        <w:t xml:space="preserve"> of being a multiple</w:t>
      </w:r>
      <w:r w:rsidR="0088773D">
        <w:t xml:space="preserve"> in these sensitivity analyses.</w:t>
      </w:r>
      <w:r w:rsidR="002D51AF">
        <w:t xml:space="preserve"> If we find evidence for an association for outcomes among live births (e.g. Apgar score), we will undertake a sensitivity analysis restricting to only term </w:t>
      </w:r>
      <w:r w:rsidR="00875F95">
        <w:t xml:space="preserve">live </w:t>
      </w:r>
      <w:r w:rsidR="002D51AF">
        <w:t>births</w:t>
      </w:r>
      <w:r w:rsidR="002D51AF" w:rsidRPr="002E1D85">
        <w:t>.</w:t>
      </w:r>
    </w:p>
    <w:p w14:paraId="54B03340" w14:textId="1DA72EE7" w:rsidR="008D2810" w:rsidRDefault="008D2810" w:rsidP="008D2810">
      <w:pPr>
        <w:pStyle w:val="Heading2"/>
      </w:pPr>
      <w:r>
        <w:t>4.</w:t>
      </w:r>
      <w:r w:rsidR="007E5EE1">
        <w:t>3</w:t>
      </w:r>
      <w:r>
        <w:t>: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r w:rsidR="00B04DF0">
        <w:t>may</w:t>
      </w:r>
      <w:r>
        <w:t xml:space="preserve"> subsequently be conducted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are provided in Appendix 3. </w:t>
      </w:r>
    </w:p>
    <w:p w14:paraId="1B840EF3" w14:textId="1043DACE" w:rsidR="00A41391" w:rsidRPr="006A05B0" w:rsidRDefault="00DD4FE7" w:rsidP="00DC7FAE">
      <w:pPr>
        <w:pStyle w:val="Heading1"/>
      </w:pPr>
      <w:r>
        <w:t>5</w:t>
      </w:r>
      <w:r w:rsidR="00A41391" w:rsidRPr="006A05B0">
        <w:t xml:space="preserve">.0 Potential </w:t>
      </w:r>
      <w:r w:rsidR="00CD6805">
        <w:t>L</w:t>
      </w:r>
      <w:r w:rsidR="00A41391" w:rsidRPr="006A05B0">
        <w:t>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is derived, there is a lag of up to three months before conceptions are identified and hence the corresponding pregnancies included in the study dataset. </w:t>
      </w:r>
      <w:r w:rsidRPr="00FD1D62">
        <w:rPr>
          <w:rFonts w:cstheme="minorHAnsi"/>
        </w:rPr>
        <w:t>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w:t>
      </w:r>
      <w:r>
        <w:rPr>
          <w:rFonts w:cstheme="minorHAnsi"/>
        </w:rPr>
        <w:lastRenderedPageBreak/>
        <w:t xml:space="preserve">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21BCF3B2" w:rsidR="00A41391" w:rsidRPr="00811C9E" w:rsidRDefault="00DD4FE7" w:rsidP="00DC7FAE">
      <w:pPr>
        <w:pStyle w:val="Heading1"/>
      </w:pPr>
      <w:r>
        <w:t>6</w:t>
      </w:r>
      <w:r w:rsidR="00591E8A">
        <w:t xml:space="preserve">.0 </w:t>
      </w:r>
      <w:r w:rsidR="001F10A2">
        <w:t>P</w:t>
      </w:r>
      <w:r w:rsidR="00A41391" w:rsidRPr="00811C9E">
        <w:t xml:space="preserve">ublication of </w:t>
      </w:r>
      <w:r w:rsidR="00CD6805">
        <w:t>R</w:t>
      </w:r>
      <w:r w:rsidR="00591E8A">
        <w:t>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r w:rsidR="006A5289">
        <w:t>is</w:t>
      </w:r>
      <w:r w:rsidRPr="00811C9E">
        <w:t xml:space="preserve"> published in the PHS COVID-19 weekly report on a </w:t>
      </w:r>
      <w:r w:rsidRPr="004873A5">
        <w:t xml:space="preserve">monthly basis. </w:t>
      </w:r>
    </w:p>
    <w:p w14:paraId="0684EB74" w14:textId="28E694DD" w:rsidR="00DA2358" w:rsidRPr="004873A5" w:rsidRDefault="006E03EB" w:rsidP="00A41391">
      <w:r w:rsidRPr="004873A5">
        <w:t xml:space="preserve">All interim and final </w:t>
      </w:r>
      <w:r w:rsidR="006A5289" w:rsidRPr="004873A5">
        <w:t xml:space="preserve">results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(e.g.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r>
        <w:t xml:space="preserve">DaCVaP steering group. DaCVaP is a collaborative study within the suite of COVID-19 national core studies that is </w:t>
      </w:r>
      <w:r w:rsidR="00553CC2">
        <w:t>conducting UK wide studies on vaccine safety and effectiveness.</w:t>
      </w:r>
    </w:p>
    <w:p w14:paraId="65CDF2F8" w14:textId="265FB810"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globally coordinated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01EA2C91" w14:textId="300518B2" w:rsidR="00F16BD8" w:rsidRDefault="00F16BD8" w:rsidP="00F16BD8">
      <w:r>
        <w:t>This project adheres to the European Network of Centres for Pharmacoepidemiology and Pharmacovigilance (ENCePP) code of conduct including the requirement for unrestricted freedom of the investigator to publish.</w:t>
      </w:r>
    </w:p>
    <w:p w14:paraId="0FBC747F" w14:textId="2E0AFFDD" w:rsidR="00F16BD8" w:rsidRPr="00811C9E" w:rsidRDefault="00CD6805" w:rsidP="00F16BD8">
      <w:pPr>
        <w:pStyle w:val="Heading1"/>
      </w:pPr>
      <w:r>
        <w:lastRenderedPageBreak/>
        <w:t>7.0 Data A</w:t>
      </w:r>
      <w:r w:rsidR="00F16BD8">
        <w:t>ccess</w:t>
      </w:r>
    </w:p>
    <w:p w14:paraId="4124F3C3" w14:textId="6A06C7DB" w:rsidR="00F16BD8" w:rsidRDefault="00F16BD8" w:rsidP="00F16BD8">
      <w:pPr>
        <w:rPr>
          <w:color w:val="1F497D"/>
        </w:rPr>
      </w:pPr>
      <w:r>
        <w:t>The full study dataset cannot be made publicly available due to patient privacy and confidentiality; however, data can be made available to external parties subject to relevant governance permissions from data controllers being secured.  Enquiries regarding data availability should be directed to</w:t>
      </w:r>
      <w:r w:rsidRPr="00F16BD8">
        <w:rPr>
          <w:color w:val="1F497D"/>
        </w:rPr>
        <w:t xml:space="preserve"> </w:t>
      </w:r>
      <w:hyperlink r:id="rId14" w:history="1">
        <w:r>
          <w:rPr>
            <w:rStyle w:val="Hyperlink"/>
          </w:rPr>
          <w:t>phs.edris@phs.scot</w:t>
        </w:r>
      </w:hyperlink>
      <w:r w:rsidRPr="00F16BD8">
        <w:rPr>
          <w:color w:val="1F497D"/>
        </w:rPr>
        <w:t>.</w:t>
      </w:r>
    </w:p>
    <w:p w14:paraId="212E0E01" w14:textId="6AE8AA13" w:rsidR="00F96DDB" w:rsidRDefault="00F96DDB" w:rsidP="00F16BD8">
      <w:pPr>
        <w:rPr>
          <w:color w:val="1F497D"/>
        </w:rPr>
      </w:pPr>
    </w:p>
    <w:p w14:paraId="7AD193AF" w14:textId="2EE12642" w:rsidR="00F96DDB" w:rsidRDefault="00CD6805" w:rsidP="001B08D6">
      <w:pPr>
        <w:pStyle w:val="Heading1"/>
      </w:pPr>
      <w:r>
        <w:t>8.0 Protocol A</w:t>
      </w:r>
      <w:r w:rsidR="00F96DDB">
        <w:t xml:space="preserve">mendments </w:t>
      </w:r>
    </w:p>
    <w:p w14:paraId="173CAEF2" w14:textId="000B20F8" w:rsidR="00F96DDB" w:rsidRDefault="00F96DDB">
      <w:r>
        <w:t xml:space="preserve">In this section, we document changes that were made to the protocol after the analysis had started. </w:t>
      </w:r>
    </w:p>
    <w:tbl>
      <w:tblPr>
        <w:tblStyle w:val="TableGrid"/>
        <w:tblW w:w="0" w:type="auto"/>
        <w:tblLook w:val="04A0" w:firstRow="1" w:lastRow="0" w:firstColumn="1" w:lastColumn="0" w:noHBand="0" w:noVBand="1"/>
      </w:tblPr>
      <w:tblGrid>
        <w:gridCol w:w="3681"/>
        <w:gridCol w:w="3260"/>
        <w:gridCol w:w="2075"/>
      </w:tblGrid>
      <w:tr w:rsidR="00F96DDB" w14:paraId="57BB74A0" w14:textId="77777777" w:rsidTr="00F96DDB">
        <w:tc>
          <w:tcPr>
            <w:tcW w:w="9016" w:type="dxa"/>
            <w:gridSpan w:val="3"/>
          </w:tcPr>
          <w:p w14:paraId="05BDA6FA" w14:textId="59048532" w:rsidR="00F96DDB" w:rsidRDefault="00244325" w:rsidP="00E2791B">
            <w:r>
              <w:t>Revisions to version 1.2</w:t>
            </w:r>
            <w:r w:rsidR="00E2791B">
              <w:t>: 22</w:t>
            </w:r>
            <w:r w:rsidR="00E2791B">
              <w:rPr>
                <w:vertAlign w:val="superscript"/>
              </w:rPr>
              <w:t>nd</w:t>
            </w:r>
            <w:r w:rsidR="00F96DDB">
              <w:t xml:space="preserve"> March 2022</w:t>
            </w:r>
          </w:p>
        </w:tc>
      </w:tr>
      <w:tr w:rsidR="00F96DDB" w14:paraId="29131DC2" w14:textId="77777777" w:rsidTr="001B08D6">
        <w:tc>
          <w:tcPr>
            <w:tcW w:w="3681" w:type="dxa"/>
          </w:tcPr>
          <w:p w14:paraId="3FF9EB9D" w14:textId="5573F536" w:rsidR="00F96DDB" w:rsidRPr="001B08D6" w:rsidRDefault="00F96DDB" w:rsidP="00F96DDB">
            <w:pPr>
              <w:rPr>
                <w:b/>
              </w:rPr>
            </w:pPr>
            <w:r w:rsidRPr="001B08D6">
              <w:rPr>
                <w:b/>
              </w:rPr>
              <w:t xml:space="preserve">Change </w:t>
            </w:r>
          </w:p>
        </w:tc>
        <w:tc>
          <w:tcPr>
            <w:tcW w:w="3260" w:type="dxa"/>
          </w:tcPr>
          <w:p w14:paraId="71D0BA9F" w14:textId="16766CAE" w:rsidR="00F96DDB" w:rsidRPr="001B08D6" w:rsidRDefault="00F96DDB" w:rsidP="00F96DDB">
            <w:pPr>
              <w:rPr>
                <w:b/>
              </w:rPr>
            </w:pPr>
            <w:r w:rsidRPr="001B08D6">
              <w:rPr>
                <w:b/>
              </w:rPr>
              <w:t>Rationale</w:t>
            </w:r>
          </w:p>
        </w:tc>
        <w:tc>
          <w:tcPr>
            <w:tcW w:w="2075" w:type="dxa"/>
          </w:tcPr>
          <w:p w14:paraId="6F945879" w14:textId="4EB66F6B" w:rsidR="00F96DDB" w:rsidRPr="001B08D6" w:rsidRDefault="00F96DDB" w:rsidP="00F96DDB">
            <w:pPr>
              <w:rPr>
                <w:b/>
              </w:rPr>
            </w:pPr>
            <w:r w:rsidRPr="001B08D6">
              <w:rPr>
                <w:b/>
              </w:rPr>
              <w:t>Affected protocol sections</w:t>
            </w:r>
          </w:p>
        </w:tc>
      </w:tr>
      <w:tr w:rsidR="00F96DDB" w14:paraId="4B87DB16" w14:textId="77777777" w:rsidTr="001B08D6">
        <w:tc>
          <w:tcPr>
            <w:tcW w:w="3681" w:type="dxa"/>
          </w:tcPr>
          <w:p w14:paraId="5D69626F" w14:textId="5AB671E2" w:rsidR="00F96DDB" w:rsidRDefault="00F96DDB" w:rsidP="001B08D6">
            <w:pPr>
              <w:spacing w:after="0" w:line="276" w:lineRule="auto"/>
            </w:pPr>
            <w:r>
              <w:t xml:space="preserve">Revised definition of miscarriage and stillbirth. Previously, women were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24</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 This has been revised so</w:t>
            </w:r>
            <w:r>
              <w:t xml:space="preserve"> women are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20</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w:t>
            </w:r>
            <w:r>
              <w:t xml:space="preserve">. </w:t>
            </w:r>
          </w:p>
        </w:tc>
        <w:tc>
          <w:tcPr>
            <w:tcW w:w="3260" w:type="dxa"/>
          </w:tcPr>
          <w:p w14:paraId="2BF0F2F5" w14:textId="77777777" w:rsidR="00F96DDB" w:rsidRDefault="00F96DDB" w:rsidP="00F96DDB">
            <w:pPr>
              <w:spacing w:after="0" w:line="276" w:lineRule="auto"/>
            </w:pPr>
            <w:r>
              <w:t>The aligns with the definitions used in other countries (e.g. the US) and, when looking at early pregnancy outcomes, prevents the inclusions of pregnancies with live birth outcomes and minimises the number of terminations of pregnancies for anomalies that are included.</w:t>
            </w:r>
          </w:p>
          <w:p w14:paraId="2EF216B0" w14:textId="77777777" w:rsidR="00F96DDB" w:rsidRDefault="00F96DDB" w:rsidP="00F96DDB"/>
        </w:tc>
        <w:tc>
          <w:tcPr>
            <w:tcW w:w="2075" w:type="dxa"/>
          </w:tcPr>
          <w:p w14:paraId="185D3A07" w14:textId="0B4F8E55" w:rsidR="00F96DDB" w:rsidRDefault="00F96DDB" w:rsidP="00F96DDB">
            <w:r>
              <w:t>3.5.1</w:t>
            </w:r>
          </w:p>
        </w:tc>
      </w:tr>
      <w:tr w:rsidR="00F96DDB" w14:paraId="5A7D47EF" w14:textId="77777777" w:rsidTr="001B08D6">
        <w:tc>
          <w:tcPr>
            <w:tcW w:w="3681" w:type="dxa"/>
          </w:tcPr>
          <w:p w14:paraId="5AAAA33E" w14:textId="231E90B5" w:rsidR="00F96DDB" w:rsidRDefault="00F96DDB" w:rsidP="00F96DDB">
            <w:pPr>
              <w:spacing w:after="0" w:line="276" w:lineRule="auto"/>
            </w:pPr>
            <w:r>
              <w:t xml:space="preserve">Revised two covariates (BMI and smoking status) so that we will not only rely on data from ANC booking, but also from GP data for women where there is no information from ANC booking. </w:t>
            </w:r>
            <w:r w:rsidR="00087B26">
              <w:t xml:space="preserve">We also revised the categorisation of the diabetes variable. </w:t>
            </w:r>
          </w:p>
        </w:tc>
        <w:tc>
          <w:tcPr>
            <w:tcW w:w="3260" w:type="dxa"/>
          </w:tcPr>
          <w:p w14:paraId="5F456FE4" w14:textId="144BB309" w:rsidR="00F96DDB" w:rsidRDefault="00F96DDB" w:rsidP="00F96DDB">
            <w:pPr>
              <w:spacing w:after="0" w:line="276" w:lineRule="auto"/>
            </w:pPr>
            <w:r>
              <w:t>There will be extensive missing data if we only rely on information from ANC booking status, so will draw on additional GP data.</w:t>
            </w:r>
          </w:p>
        </w:tc>
        <w:tc>
          <w:tcPr>
            <w:tcW w:w="2075" w:type="dxa"/>
          </w:tcPr>
          <w:p w14:paraId="05E26D07" w14:textId="27A85A7D" w:rsidR="00F96DDB" w:rsidRDefault="00F96DDB" w:rsidP="00F96DDB">
            <w:r>
              <w:t>3.5.3</w:t>
            </w:r>
          </w:p>
        </w:tc>
      </w:tr>
      <w:tr w:rsidR="00E2791B" w14:paraId="4EAE2852" w14:textId="77777777" w:rsidTr="001B08D6">
        <w:tc>
          <w:tcPr>
            <w:tcW w:w="3681" w:type="dxa"/>
          </w:tcPr>
          <w:p w14:paraId="33EDE36F" w14:textId="1FD06D6D" w:rsidR="00E2791B" w:rsidRDefault="00E2791B" w:rsidP="00F96DDB">
            <w:pPr>
              <w:spacing w:after="0" w:line="276" w:lineRule="auto"/>
            </w:pPr>
            <w:r>
              <w:t xml:space="preserve">Revised matching criteria for selection of unvaccinated women in pandemic period to prioritise matching by maternal age and gestational age, and to </w:t>
            </w:r>
            <w:r w:rsidR="00F45ED0">
              <w:t xml:space="preserve">state that we will </w:t>
            </w:r>
            <w:r>
              <w:t xml:space="preserve">only match on season or week of conception if there are sufficient numbers of </w:t>
            </w:r>
            <w:r w:rsidR="00F45ED0">
              <w:t>un</w:t>
            </w:r>
            <w:r>
              <w:t xml:space="preserve">vaccinated women. </w:t>
            </w:r>
          </w:p>
        </w:tc>
        <w:tc>
          <w:tcPr>
            <w:tcW w:w="3260" w:type="dxa"/>
          </w:tcPr>
          <w:p w14:paraId="483AD81D" w14:textId="3EDEF7D7" w:rsidR="00E2791B" w:rsidRDefault="00E2791B" w:rsidP="00F45ED0">
            <w:pPr>
              <w:spacing w:after="0" w:line="276" w:lineRule="auto"/>
            </w:pPr>
            <w:r>
              <w:t xml:space="preserve">Given increasing levels of vaccination in pregnancy, it might be impossible to match on all three criteria so we have prioritised maternal age and gestational age. </w:t>
            </w:r>
          </w:p>
        </w:tc>
        <w:tc>
          <w:tcPr>
            <w:tcW w:w="2075" w:type="dxa"/>
          </w:tcPr>
          <w:p w14:paraId="1481B29F" w14:textId="7B57DDBD" w:rsidR="00E2791B" w:rsidRDefault="00E2791B" w:rsidP="00F96DDB">
            <w:r>
              <w:t>3.6</w:t>
            </w:r>
          </w:p>
        </w:tc>
      </w:tr>
    </w:tbl>
    <w:p w14:paraId="2BAB7792" w14:textId="77777777" w:rsidR="00F96DDB" w:rsidRPr="00F96DDB" w:rsidRDefault="00F96DDB"/>
    <w:p w14:paraId="74A58E29" w14:textId="77777777" w:rsidR="00D12E31" w:rsidRDefault="00D12E31" w:rsidP="00D12E31">
      <w:pPr>
        <w:pStyle w:val="ListParagraph"/>
        <w:ind w:left="360"/>
      </w:pPr>
    </w:p>
    <w:tbl>
      <w:tblPr>
        <w:tblStyle w:val="TableGrid"/>
        <w:tblW w:w="0" w:type="auto"/>
        <w:tblLook w:val="04A0" w:firstRow="1" w:lastRow="0" w:firstColumn="1" w:lastColumn="0" w:noHBand="0" w:noVBand="1"/>
      </w:tblPr>
      <w:tblGrid>
        <w:gridCol w:w="3681"/>
        <w:gridCol w:w="3260"/>
        <w:gridCol w:w="2075"/>
      </w:tblGrid>
      <w:tr w:rsidR="00751282" w14:paraId="5A3FDA9D" w14:textId="77777777" w:rsidTr="00751282">
        <w:tc>
          <w:tcPr>
            <w:tcW w:w="9016" w:type="dxa"/>
            <w:gridSpan w:val="3"/>
          </w:tcPr>
          <w:p w14:paraId="0EB53F08" w14:textId="4B93329C" w:rsidR="00751282" w:rsidRDefault="00751282" w:rsidP="000E5D71">
            <w:r>
              <w:lastRenderedPageBreak/>
              <w:t>Revisions to version 1.</w:t>
            </w:r>
            <w:r w:rsidR="000E5D71">
              <w:t>3</w:t>
            </w:r>
            <w:r>
              <w:t>: 27</w:t>
            </w:r>
            <w:r w:rsidRPr="00751282">
              <w:rPr>
                <w:vertAlign w:val="superscript"/>
              </w:rPr>
              <w:t>th</w:t>
            </w:r>
            <w:r>
              <w:t xml:space="preserve"> April 2022</w:t>
            </w:r>
          </w:p>
        </w:tc>
      </w:tr>
      <w:tr w:rsidR="00751282" w14:paraId="7A2FA492" w14:textId="77777777" w:rsidTr="00751282">
        <w:tc>
          <w:tcPr>
            <w:tcW w:w="3681" w:type="dxa"/>
          </w:tcPr>
          <w:p w14:paraId="5EB2A887" w14:textId="77777777" w:rsidR="00751282" w:rsidRPr="001B08D6" w:rsidRDefault="00751282" w:rsidP="00751282">
            <w:pPr>
              <w:rPr>
                <w:b/>
              </w:rPr>
            </w:pPr>
            <w:r w:rsidRPr="001B08D6">
              <w:rPr>
                <w:b/>
              </w:rPr>
              <w:t xml:space="preserve">Change </w:t>
            </w:r>
          </w:p>
        </w:tc>
        <w:tc>
          <w:tcPr>
            <w:tcW w:w="3260" w:type="dxa"/>
          </w:tcPr>
          <w:p w14:paraId="06F827AD" w14:textId="77777777" w:rsidR="00751282" w:rsidRPr="001B08D6" w:rsidRDefault="00751282" w:rsidP="00751282">
            <w:pPr>
              <w:rPr>
                <w:b/>
              </w:rPr>
            </w:pPr>
            <w:r w:rsidRPr="001B08D6">
              <w:rPr>
                <w:b/>
              </w:rPr>
              <w:t>Rationale</w:t>
            </w:r>
          </w:p>
        </w:tc>
        <w:tc>
          <w:tcPr>
            <w:tcW w:w="2075" w:type="dxa"/>
          </w:tcPr>
          <w:p w14:paraId="7916C926" w14:textId="77777777" w:rsidR="00751282" w:rsidRPr="001B08D6" w:rsidRDefault="00751282" w:rsidP="00751282">
            <w:pPr>
              <w:rPr>
                <w:b/>
              </w:rPr>
            </w:pPr>
            <w:r w:rsidRPr="001B08D6">
              <w:rPr>
                <w:b/>
              </w:rPr>
              <w:t>Affected protocol sections</w:t>
            </w:r>
          </w:p>
        </w:tc>
      </w:tr>
      <w:tr w:rsidR="00751282" w14:paraId="62F2B671" w14:textId="77777777" w:rsidTr="00751282">
        <w:tc>
          <w:tcPr>
            <w:tcW w:w="3681" w:type="dxa"/>
          </w:tcPr>
          <w:p w14:paraId="10C9794A" w14:textId="342859A3" w:rsidR="00751282" w:rsidRDefault="00751282" w:rsidP="00953F4E">
            <w:pPr>
              <w:spacing w:after="0" w:line="276" w:lineRule="auto"/>
            </w:pPr>
            <w:r>
              <w:t xml:space="preserve">Added in </w:t>
            </w:r>
            <w:r w:rsidR="00953F4E">
              <w:t xml:space="preserve">additional sensitivity analysis for </w:t>
            </w:r>
            <w:r w:rsidR="006719D1">
              <w:t xml:space="preserve">any </w:t>
            </w:r>
            <w:r w:rsidR="00953F4E">
              <w:t>live birth outcomes</w:t>
            </w:r>
            <w:r w:rsidR="006719D1">
              <w:t xml:space="preserve"> where there is evidence of an association with vaccination</w:t>
            </w:r>
            <w:r w:rsidR="00953F4E">
              <w:t xml:space="preserve">, restricting the analysis to only term births. </w:t>
            </w:r>
            <w:r>
              <w:t xml:space="preserve">   </w:t>
            </w:r>
          </w:p>
        </w:tc>
        <w:tc>
          <w:tcPr>
            <w:tcW w:w="3260" w:type="dxa"/>
          </w:tcPr>
          <w:p w14:paraId="31AF9685" w14:textId="5E6C1E34" w:rsidR="00751282" w:rsidRDefault="00953F4E" w:rsidP="00875F95">
            <w:pPr>
              <w:spacing w:after="0" w:line="276" w:lineRule="auto"/>
            </w:pPr>
            <w:r>
              <w:t>Vaccination/infection may change risk of preterm birth which then impacts on the risk of some outcomes among these births. This additional analysis w</w:t>
            </w:r>
            <w:r w:rsidR="00875F95">
              <w:t>ill allow us to assess if the associatio</w:t>
            </w:r>
            <w:r w:rsidR="006719D1">
              <w:t xml:space="preserve">n persists </w:t>
            </w:r>
            <w:r>
              <w:t>within term births.</w:t>
            </w:r>
          </w:p>
        </w:tc>
        <w:tc>
          <w:tcPr>
            <w:tcW w:w="2075" w:type="dxa"/>
          </w:tcPr>
          <w:p w14:paraId="382E4AA7" w14:textId="32DF138E" w:rsidR="00751282" w:rsidRDefault="00953F4E" w:rsidP="00751282">
            <w:r>
              <w:t>4</w:t>
            </w:r>
            <w:r w:rsidR="003059E9">
              <w:t>.2</w:t>
            </w:r>
          </w:p>
        </w:tc>
      </w:tr>
    </w:tbl>
    <w:p w14:paraId="1126B621" w14:textId="77777777" w:rsidR="00244325" w:rsidRDefault="00244325">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44325" w14:paraId="2B305DC2" w14:textId="77777777" w:rsidTr="005F405F">
        <w:tc>
          <w:tcPr>
            <w:tcW w:w="9016" w:type="dxa"/>
            <w:gridSpan w:val="3"/>
          </w:tcPr>
          <w:p w14:paraId="03ECB6E0" w14:textId="555FF027" w:rsidR="00244325" w:rsidRDefault="00244325" w:rsidP="00244325">
            <w:r>
              <w:t>Revisions to version 1.4: 12</w:t>
            </w:r>
            <w:r w:rsidRPr="00751282">
              <w:rPr>
                <w:vertAlign w:val="superscript"/>
              </w:rPr>
              <w:t>th</w:t>
            </w:r>
            <w:r>
              <w:t xml:space="preserve"> May 2022</w:t>
            </w:r>
          </w:p>
        </w:tc>
      </w:tr>
      <w:tr w:rsidR="00244325" w:rsidRPr="001B08D6" w14:paraId="50246374" w14:textId="77777777" w:rsidTr="005F405F">
        <w:tc>
          <w:tcPr>
            <w:tcW w:w="3681" w:type="dxa"/>
          </w:tcPr>
          <w:p w14:paraId="79899FA8" w14:textId="77777777" w:rsidR="00244325" w:rsidRPr="001B08D6" w:rsidRDefault="00244325" w:rsidP="005F405F">
            <w:pPr>
              <w:rPr>
                <w:b/>
              </w:rPr>
            </w:pPr>
            <w:r w:rsidRPr="001B08D6">
              <w:rPr>
                <w:b/>
              </w:rPr>
              <w:t xml:space="preserve">Change </w:t>
            </w:r>
          </w:p>
        </w:tc>
        <w:tc>
          <w:tcPr>
            <w:tcW w:w="3260" w:type="dxa"/>
          </w:tcPr>
          <w:p w14:paraId="2FBEFB79" w14:textId="77777777" w:rsidR="00244325" w:rsidRPr="001B08D6" w:rsidRDefault="00244325" w:rsidP="005F405F">
            <w:pPr>
              <w:rPr>
                <w:b/>
              </w:rPr>
            </w:pPr>
            <w:r w:rsidRPr="001B08D6">
              <w:rPr>
                <w:b/>
              </w:rPr>
              <w:t>Rationale</w:t>
            </w:r>
          </w:p>
        </w:tc>
        <w:tc>
          <w:tcPr>
            <w:tcW w:w="2075" w:type="dxa"/>
          </w:tcPr>
          <w:p w14:paraId="4CC22C25" w14:textId="77777777" w:rsidR="00244325" w:rsidRPr="001B08D6" w:rsidRDefault="00244325" w:rsidP="005F405F">
            <w:pPr>
              <w:rPr>
                <w:b/>
              </w:rPr>
            </w:pPr>
            <w:r w:rsidRPr="001B08D6">
              <w:rPr>
                <w:b/>
              </w:rPr>
              <w:t>Affected protocol sections</w:t>
            </w:r>
          </w:p>
        </w:tc>
      </w:tr>
      <w:tr w:rsidR="00244325" w14:paraId="7E64182D" w14:textId="77777777" w:rsidTr="005F405F">
        <w:tc>
          <w:tcPr>
            <w:tcW w:w="3681" w:type="dxa"/>
          </w:tcPr>
          <w:p w14:paraId="1F083514" w14:textId="012AF250" w:rsidR="00244325" w:rsidRDefault="00244325" w:rsidP="00244325">
            <w:pPr>
              <w:spacing w:after="0" w:line="276" w:lineRule="auto"/>
            </w:pPr>
            <w:r>
              <w:t xml:space="preserve">Amended follow-up period for ectopic pregnancy from whole of pregnancy to only up to 20 weeks gestation. </w:t>
            </w:r>
          </w:p>
        </w:tc>
        <w:tc>
          <w:tcPr>
            <w:tcW w:w="3260" w:type="dxa"/>
          </w:tcPr>
          <w:p w14:paraId="18E9153D" w14:textId="13DCC128" w:rsidR="00244325" w:rsidRDefault="00244325" w:rsidP="00244325">
            <w:pPr>
              <w:spacing w:after="0" w:line="276" w:lineRule="auto"/>
            </w:pPr>
            <w:r>
              <w:t>This is a consistent period with the other early pregnancy outcome (miscarriage) and no ectopic pregnancies expected to be identified after 20 weeks gestation.</w:t>
            </w:r>
          </w:p>
        </w:tc>
        <w:tc>
          <w:tcPr>
            <w:tcW w:w="2075" w:type="dxa"/>
          </w:tcPr>
          <w:p w14:paraId="40E077E3" w14:textId="3F27F8DE" w:rsidR="00244325" w:rsidRDefault="00244325" w:rsidP="005F405F">
            <w:r>
              <w:t>3.5.1</w:t>
            </w:r>
          </w:p>
        </w:tc>
      </w:tr>
    </w:tbl>
    <w:p w14:paraId="2F0E3C63" w14:textId="77777777" w:rsidR="00104EF4" w:rsidRDefault="00104EF4">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104EF4" w14:paraId="4CBD31B4" w14:textId="77777777" w:rsidTr="00DB52BC">
        <w:tc>
          <w:tcPr>
            <w:tcW w:w="9016" w:type="dxa"/>
            <w:gridSpan w:val="3"/>
          </w:tcPr>
          <w:p w14:paraId="5115CF44" w14:textId="32A99003" w:rsidR="00104EF4" w:rsidRDefault="00104EF4" w:rsidP="00104EF4">
            <w:r>
              <w:t>Revisions to version 1.5</w:t>
            </w:r>
            <w:r>
              <w:t xml:space="preserve">: </w:t>
            </w:r>
            <w:r>
              <w:t>27</w:t>
            </w:r>
            <w:r w:rsidRPr="00751282">
              <w:rPr>
                <w:vertAlign w:val="superscript"/>
              </w:rPr>
              <w:t>th</w:t>
            </w:r>
            <w:r>
              <w:t xml:space="preserve"> May 2022</w:t>
            </w:r>
          </w:p>
        </w:tc>
      </w:tr>
      <w:tr w:rsidR="00104EF4" w:rsidRPr="001B08D6" w14:paraId="52318DE0" w14:textId="77777777" w:rsidTr="00DB52BC">
        <w:tc>
          <w:tcPr>
            <w:tcW w:w="3681" w:type="dxa"/>
          </w:tcPr>
          <w:p w14:paraId="1128A39B" w14:textId="77777777" w:rsidR="00104EF4" w:rsidRPr="001B08D6" w:rsidRDefault="00104EF4" w:rsidP="00DB52BC">
            <w:pPr>
              <w:rPr>
                <w:b/>
              </w:rPr>
            </w:pPr>
            <w:r w:rsidRPr="001B08D6">
              <w:rPr>
                <w:b/>
              </w:rPr>
              <w:t xml:space="preserve">Change </w:t>
            </w:r>
          </w:p>
        </w:tc>
        <w:tc>
          <w:tcPr>
            <w:tcW w:w="3260" w:type="dxa"/>
          </w:tcPr>
          <w:p w14:paraId="5F192349" w14:textId="77777777" w:rsidR="00104EF4" w:rsidRPr="001B08D6" w:rsidRDefault="00104EF4" w:rsidP="00DB52BC">
            <w:pPr>
              <w:rPr>
                <w:b/>
              </w:rPr>
            </w:pPr>
            <w:r w:rsidRPr="001B08D6">
              <w:rPr>
                <w:b/>
              </w:rPr>
              <w:t>Rationale</w:t>
            </w:r>
          </w:p>
        </w:tc>
        <w:tc>
          <w:tcPr>
            <w:tcW w:w="2075" w:type="dxa"/>
          </w:tcPr>
          <w:p w14:paraId="626B8747" w14:textId="77777777" w:rsidR="00104EF4" w:rsidRPr="001B08D6" w:rsidRDefault="00104EF4" w:rsidP="00DB52BC">
            <w:pPr>
              <w:rPr>
                <w:b/>
              </w:rPr>
            </w:pPr>
            <w:r w:rsidRPr="001B08D6">
              <w:rPr>
                <w:b/>
              </w:rPr>
              <w:t>Affected protocol sections</w:t>
            </w:r>
          </w:p>
        </w:tc>
      </w:tr>
      <w:tr w:rsidR="00104EF4" w14:paraId="0DF8ECCA" w14:textId="77777777" w:rsidTr="00DB52BC">
        <w:tc>
          <w:tcPr>
            <w:tcW w:w="3681" w:type="dxa"/>
          </w:tcPr>
          <w:p w14:paraId="521CB778" w14:textId="6ECC328D" w:rsidR="00104EF4" w:rsidRDefault="00104EF4" w:rsidP="00104EF4">
            <w:pPr>
              <w:spacing w:after="0" w:line="276" w:lineRule="auto"/>
            </w:pPr>
            <w:r>
              <w:t xml:space="preserve">Revised the statistical analysis for early pregnancy outcomes to exclude </w:t>
            </w:r>
            <w:r>
              <w:t xml:space="preserve">include covariates that rely on data from SMR02 delivery records (i.e. BMI, smoking status and diabetes) </w:t>
            </w:r>
            <w:r>
              <w:t>from</w:t>
            </w:r>
            <w:r>
              <w:t xml:space="preserve"> the models. </w:t>
            </w:r>
          </w:p>
        </w:tc>
        <w:tc>
          <w:tcPr>
            <w:tcW w:w="3260" w:type="dxa"/>
          </w:tcPr>
          <w:p w14:paraId="32B7626B" w14:textId="70BEA342" w:rsidR="00104EF4" w:rsidRDefault="00104EF4" w:rsidP="00DB52BC">
            <w:pPr>
              <w:spacing w:after="0" w:line="276" w:lineRule="auto"/>
            </w:pPr>
            <w:r>
              <w:t xml:space="preserve">Exploration of these covariates indicated very high levels of missing data for pregnancies that had an early pregnancy outcome. </w:t>
            </w:r>
          </w:p>
        </w:tc>
        <w:tc>
          <w:tcPr>
            <w:tcW w:w="2075" w:type="dxa"/>
          </w:tcPr>
          <w:p w14:paraId="404764F5" w14:textId="00B71F5C" w:rsidR="00104EF4" w:rsidRDefault="00104EF4" w:rsidP="00DB52BC">
            <w:r>
              <w:t>4.2</w:t>
            </w:r>
          </w:p>
        </w:tc>
      </w:tr>
    </w:tbl>
    <w:p w14:paraId="08B47C8D" w14:textId="4379B47F" w:rsidR="00F15D9D" w:rsidRDefault="00F15D9D">
      <w:pPr>
        <w:spacing w:after="200" w:line="276" w:lineRule="auto"/>
      </w:pPr>
      <w:r>
        <w:br w:type="page"/>
      </w:r>
    </w:p>
    <w:p w14:paraId="2C139C09" w14:textId="628A0D83" w:rsidR="00104EF4" w:rsidRDefault="00104EF4">
      <w:pPr>
        <w:spacing w:after="200" w:line="276" w:lineRule="auto"/>
      </w:pPr>
    </w:p>
    <w:p w14:paraId="0C52C83E" w14:textId="74F0F478" w:rsidR="006F7323" w:rsidRDefault="006F7323" w:rsidP="006F7323">
      <w:pPr>
        <w:pStyle w:val="Heading1"/>
        <w:rPr>
          <w:sz w:val="22"/>
        </w:rPr>
      </w:pPr>
      <w:r w:rsidRPr="00466743">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  complicated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lastRenderedPageBreak/>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lastRenderedPageBreak/>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 mention of acute cor pulmonale</w:t>
            </w:r>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without mention of acute cor pulmonale</w:t>
            </w:r>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phlebothrombosis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Thrombophlebitis migrans</w:t>
            </w:r>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Intracranial and intraspinal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infarction due to cerebral venous thrombosis, nonpyogenic</w:t>
            </w:r>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Nonpyogenic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Intracardiac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308717EC" w14:textId="6EB6EB92" w:rsidR="006F7323" w:rsidRDefault="00B220C8" w:rsidP="00553CC2">
      <w:pPr>
        <w:pStyle w:val="Caption"/>
        <w:pageBreakBefore/>
      </w:pPr>
      <w:r>
        <w:rPr>
          <w:sz w:val="22"/>
          <w:szCs w:val="22"/>
        </w:rPr>
        <w:lastRenderedPageBreak/>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condition or any other condition </w:t>
      </w:r>
      <w:r w:rsidRPr="00553CC2">
        <w:t xml:space="preserve">will </w:t>
      </w:r>
      <w:r>
        <w:t xml:space="preserve">be </w:t>
      </w:r>
      <w:r w:rsidRPr="00553CC2">
        <w:t>used to identify admissions for the above 3 conditions</w:t>
      </w:r>
      <w:r w:rsidR="006F7323" w:rsidRPr="00553CC2">
        <w:t xml:space="preserve">. All SMR02 record types </w:t>
      </w:r>
      <w:r w:rsidRPr="00553CC2">
        <w:t>will be</w:t>
      </w:r>
      <w:r w:rsidR="006F7323" w:rsidRPr="00553CC2">
        <w:t xml:space="preserve"> included (i.e. antenatal, delivery, and postpartum admissions).</w:t>
      </w:r>
    </w:p>
    <w:p w14:paraId="6F478DF3" w14:textId="70B539D3" w:rsidR="00F27CFF" w:rsidRPr="00466743" w:rsidRDefault="00F27CFF" w:rsidP="00CD6805">
      <w:pPr>
        <w:pStyle w:val="Heading1"/>
      </w:pPr>
      <w:r w:rsidRPr="00466743">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t xml:space="preserve">MHRA public assessment record for the Pfizer vaccine (released at the time the MHRA first gave approval for use on 2 Dec 2020) </w:t>
      </w:r>
      <w:r w:rsidR="00466743">
        <w:t xml:space="preserve">- </w:t>
      </w:r>
      <w:hyperlink r:id="rId15"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6"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t>Data from the MHRA on possible adverse events reported through the Yellow Card scheme up to 31 Jan 2021.</w:t>
      </w:r>
      <w:r w:rsidR="00466743">
        <w:t xml:space="preserve"> </w:t>
      </w:r>
      <w:hyperlink r:id="rId17"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lastRenderedPageBreak/>
        <w:t>MHRA’s strategy for post marketing surveillance of the safety of COVID vaccines</w:t>
      </w:r>
      <w:r w:rsidR="00466743">
        <w:t xml:space="preserve"> - </w:t>
      </w:r>
      <w:hyperlink r:id="rId18"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t>PHE’s strategy for post implementation surveillance of COVID vaccine uptake, safety, and effectiveness</w:t>
      </w:r>
      <w:r w:rsidR="00466743">
        <w:t xml:space="preserve"> - </w:t>
      </w:r>
      <w:hyperlink r:id="rId19"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20"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The Biologics Effectiveness and Safety (BEST) Initiative's (part of the FDA's Center for Biologics Evaluation and Research) strategy for post implementation surveillance of COVID vaccine safety</w:t>
      </w:r>
    </w:p>
    <w:p w14:paraId="02EBDE83" w14:textId="745EE62B" w:rsidR="00F27CFF" w:rsidRDefault="00B66D8F" w:rsidP="00466743">
      <w:pPr>
        <w:pStyle w:val="ListParagraph"/>
        <w:ind w:left="360"/>
      </w:pPr>
      <w:hyperlink r:id="rId21"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Information from the Safety Platform for Emergency vACcines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2"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3"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4"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5"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The UKtis/BUMPS information sheet on</w:t>
      </w:r>
      <w:r w:rsidR="00466743">
        <w:t xml:space="preserve"> COVID vaccination in pregnancy. </w:t>
      </w:r>
      <w:hyperlink r:id="rId26"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lastRenderedPageBreak/>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t xml:space="preserve">A report from the ConcePTION project on best practice in in utero pharmacovigilance studies </w:t>
      </w:r>
      <w:r w:rsidR="00466743">
        <w:t xml:space="preserve"> </w:t>
      </w:r>
      <w:hyperlink r:id="rId27"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8" w:history="1">
        <w:r w:rsidR="00466743" w:rsidRPr="00267154">
          <w:rPr>
            <w:rStyle w:val="Hyperlink"/>
          </w:rPr>
          <w:t>https://www.who.int/publications/m/item/safety-surveillance-of-covid-19-vaccines-in-pregnant-and-breastfeeding-women</w:t>
        </w:r>
      </w:hyperlink>
      <w:r w:rsidR="00466743">
        <w:t xml:space="preserve">; </w:t>
      </w:r>
      <w:hyperlink r:id="rId29"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t>The EU’s ACCESS (vACcine Covid-19 monitoring ReadinESS)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30" w:history="1">
        <w:r w:rsidR="00466743" w:rsidRPr="00267154">
          <w:rPr>
            <w:rStyle w:val="Hyperlink"/>
          </w:rPr>
          <w:t>https://vac4eu.org/covid-19-vaccine-monitoring/</w:t>
        </w:r>
      </w:hyperlink>
      <w:r w:rsidR="00466743">
        <w:t xml:space="preserve">; </w:t>
      </w:r>
      <w:hyperlink r:id="rId31"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t>Outcome definitions from the Brighton Collaboration and the Global Alignment of Immunization Safety Assessment in Pregnancy (GAIA) programme</w:t>
      </w:r>
      <w:r w:rsidR="00466743">
        <w:t xml:space="preserve"> - </w:t>
      </w:r>
      <w:hyperlink r:id="rId32" w:history="1">
        <w:r w:rsidR="00466743" w:rsidRPr="00267154">
          <w:rPr>
            <w:rStyle w:val="Hyperlink"/>
          </w:rPr>
          <w:t>https://brightoncollaboration.us/</w:t>
        </w:r>
      </w:hyperlink>
      <w:r w:rsidR="00466743">
        <w:t xml:space="preserve">; </w:t>
      </w:r>
      <w:hyperlink r:id="rId33"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4" w:history="1">
        <w:r w:rsidR="00466743" w:rsidRPr="00267154">
          <w:rPr>
            <w:rStyle w:val="Hyperlink"/>
          </w:rPr>
          <w:t>https://www.rcog.org.uk/en/guidelines-research-services/guidelines/</w:t>
        </w:r>
      </w:hyperlink>
      <w:r w:rsidR="00466743">
        <w:t xml:space="preserve">; </w:t>
      </w:r>
      <w:hyperlink r:id="rId35"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6"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7" w:history="1">
        <w:r w:rsidR="00466743" w:rsidRPr="00267154">
          <w:rPr>
            <w:rStyle w:val="Hyperlink"/>
          </w:rPr>
          <w:t>https://corona.pregistry.com/cviper</w:t>
        </w:r>
      </w:hyperlink>
      <w:r w:rsidR="00466743">
        <w:t xml:space="preserve">; </w:t>
      </w:r>
      <w:hyperlink r:id="rId38"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9"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t>Study on the outcomes of women in England with and without confirmed COVID-19 at the time of delivery</w:t>
      </w:r>
      <w:r w:rsidR="00466743">
        <w:t xml:space="preserve"> - </w:t>
      </w:r>
      <w:hyperlink r:id="rId40"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1"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2"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CD6805">
      <w:pPr>
        <w:pStyle w:val="Heading1"/>
      </w:pPr>
      <w:r w:rsidRPr="00466743">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t>Study period</w:t>
            </w:r>
          </w:p>
        </w:tc>
        <w:tc>
          <w:tcPr>
            <w:tcW w:w="8558" w:type="dxa"/>
          </w:tcPr>
          <w:p w14:paraId="051AC3E6" w14:textId="72A6EE14" w:rsidR="00433470" w:rsidRDefault="00433470" w:rsidP="00433470">
            <w:pPr>
              <w:spacing w:line="276" w:lineRule="auto"/>
            </w:pPr>
            <w:r>
              <w:t>This matched cohort study will cover the time period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4858CB9D" w:rsidR="00B3230A" w:rsidRDefault="003D16C0" w:rsidP="00166CA7">
            <w:r w:rsidRPr="00940804">
              <w:t xml:space="preserve">The </w:t>
            </w:r>
            <w:r>
              <w:t xml:space="preserve">primary </w:t>
            </w:r>
            <w:r w:rsidRPr="00940804">
              <w:t xml:space="preserve">exposure to be investigated in the analyses is </w:t>
            </w:r>
            <w:r w:rsidRPr="00DA3860">
              <w:rPr>
                <w:b/>
                <w:i/>
              </w:rPr>
              <w:t>any</w:t>
            </w:r>
            <w:r w:rsidRPr="00940804">
              <w:t xml:space="preserve"> </w:t>
            </w:r>
            <w:r>
              <w:t xml:space="preserve">confirmed COVID-19 </w:t>
            </w:r>
            <w:r w:rsidR="00145C2F">
              <w:t xml:space="preserve">infection </w:t>
            </w:r>
            <w:r>
              <w:t>from six weeks preconception to the end of an outcome-specific exposure period within pregnancy (Yes/No).</w:t>
            </w:r>
            <w:r w:rsidR="00BF0B92">
              <w:t xml:space="preserve"> </w:t>
            </w:r>
            <w:r w:rsidR="00145C2F">
              <w:t xml:space="preserve">Confirmed cases of SARS-CoV-2 are defined in line with national </w:t>
            </w:r>
            <w:r w:rsidR="00166CA7">
              <w:t xml:space="preserve">guidance on testing. Up to and including the </w:t>
            </w:r>
            <w:r w:rsidR="00CD6805">
              <w:t>0</w:t>
            </w:r>
            <w:r w:rsidR="00166CA7" w:rsidRPr="00145C2F">
              <w:t>5 Jan</w:t>
            </w:r>
            <w:r w:rsidR="00CD6805">
              <w:t>uary</w:t>
            </w:r>
            <w:r w:rsidR="00166CA7" w:rsidRPr="00145C2F">
              <w:t xml:space="preserve"> 2022</w:t>
            </w:r>
            <w:r w:rsidR="00166CA7">
              <w:t>,</w:t>
            </w:r>
            <w:r w:rsidR="00145C2F">
              <w:t xml:space="preserve"> </w:t>
            </w:r>
            <w:r w:rsidR="00145C2F" w:rsidRPr="00145C2F">
              <w:t xml:space="preserve">confirmed cases </w:t>
            </w:r>
            <w:r w:rsidR="00166CA7">
              <w:t xml:space="preserve">are </w:t>
            </w:r>
            <w:r w:rsidR="00145C2F" w:rsidRPr="00145C2F">
              <w:t>identified by a positive SARS-CoV-2 viral PCR test result</w:t>
            </w:r>
            <w:r w:rsidR="00166CA7">
              <w:t xml:space="preserve">. From the </w:t>
            </w:r>
            <w:r w:rsidR="00CD6805">
              <w:t>0</w:t>
            </w:r>
            <w:r w:rsidR="00166CA7">
              <w:t>6 Jan</w:t>
            </w:r>
            <w:r w:rsidR="00CD6805">
              <w:t>uary 2022</w:t>
            </w:r>
            <w:r w:rsidR="00166CA7">
              <w:t xml:space="preserve"> onwards, confirmed cases are identified</w:t>
            </w:r>
            <w:r w:rsidR="00145C2F">
              <w:t xml:space="preserve"> </w:t>
            </w:r>
            <w:r w:rsidR="00145C2F" w:rsidRPr="00145C2F">
              <w:t xml:space="preserve">by a positive SARS-CoV-2 viral PCR test result or a positive </w:t>
            </w:r>
            <w:r w:rsidR="00CD6805">
              <w:t>lateral flow device (</w:t>
            </w:r>
            <w:r w:rsidR="00145C2F" w:rsidRPr="00145C2F">
              <w:t>LFD</w:t>
            </w:r>
            <w:r w:rsidR="00CD6805">
              <w:t>)</w:t>
            </w:r>
            <w:r w:rsidR="00145C2F" w:rsidRPr="00145C2F">
              <w:t xml:space="preserve"> test result (unless the positive LFD result was followed by a negative viral PCR result within 48 hours</w:t>
            </w:r>
            <w:r w:rsidR="00145C2F">
              <w:t xml:space="preserve">). </w:t>
            </w:r>
            <w:r w:rsidR="00BF0B92">
              <w:t xml:space="preserve">The date of onset of COVID-19 is defined as the date the woman’s first positive sample was taken. Subsequent positive </w:t>
            </w:r>
            <w:r w:rsidR="00166CA7">
              <w:t xml:space="preserve">test results </w:t>
            </w:r>
            <w:r w:rsidR="00BF0B92">
              <w:t>within 90 days of an index positive result are discounted.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1CF72EB2" w:rsidR="00BF0B92" w:rsidRDefault="00BF0B92" w:rsidP="00D123FD">
            <w:r>
              <w:t>The</w:t>
            </w:r>
            <w:r w:rsidR="007E491C">
              <w:t xml:space="preserve"> timing of COVID-19 infection for each outcome </w:t>
            </w:r>
            <w:r>
              <w:t>(i</w:t>
            </w:r>
            <w:r w:rsidR="00166CA7">
              <w:t>.</w:t>
            </w:r>
            <w:r>
              <w:t>e</w:t>
            </w:r>
            <w:r w:rsidR="00166CA7">
              <w:t>.</w:t>
            </w:r>
            <w:r>
              <w:t xml:space="preserve"> the outcome specific exposure period) is </w:t>
            </w:r>
            <w:r w:rsidR="007E491C">
              <w:t xml:space="preserve">the same as is included for vaccination </w:t>
            </w:r>
            <w:r>
              <w:t>(see Table 2).</w:t>
            </w:r>
          </w:p>
          <w:p w14:paraId="41A0FF2F" w14:textId="45C94A90" w:rsidR="00B3230A" w:rsidRDefault="00BF0B92" w:rsidP="00D123FD">
            <w:r>
              <w:t>So,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w:t>
            </w:r>
            <w:r w:rsidR="00902C25">
              <w:t>19</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lastRenderedPageBreak/>
              <w:t>Matching</w:t>
            </w:r>
          </w:p>
        </w:tc>
        <w:tc>
          <w:tcPr>
            <w:tcW w:w="8558" w:type="dxa"/>
          </w:tcPr>
          <w:p w14:paraId="2B0980A3" w14:textId="4F2D399E" w:rsidR="007E491C" w:rsidRDefault="007E491C" w:rsidP="007E491C">
            <w:pPr>
              <w:spacing w:after="0" w:line="240" w:lineRule="auto"/>
            </w:pPr>
            <w:r>
              <w:t>There will be three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weeks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7C42B66A" w:rsidR="000A3ED7" w:rsidRPr="007E491C" w:rsidRDefault="000A3ED7" w:rsidP="000A3ED7">
            <w:pPr>
              <w:spacing w:after="0" w:line="240" w:lineRule="auto"/>
              <w:rPr>
                <w:b/>
              </w:rPr>
            </w:pPr>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weeks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0C37C2">
              <w:t xml:space="preserve"> by maternal age and </w:t>
            </w:r>
            <w:r>
              <w:t xml:space="preserve">gestational </w:t>
            </w:r>
            <w:r w:rsidR="00E842EE">
              <w:t>age</w:t>
            </w:r>
            <w:r w:rsidR="000C37C2">
              <w:t xml:space="preserve"> at</w:t>
            </w:r>
            <w:r w:rsidR="00E842EE">
              <w:t xml:space="preserve"> date of infection.</w:t>
            </w:r>
          </w:p>
          <w:p w14:paraId="6642A2D0" w14:textId="77777777" w:rsidR="007E491C" w:rsidRDefault="007E491C" w:rsidP="007E491C">
            <w:pPr>
              <w:spacing w:after="0" w:line="240" w:lineRule="auto"/>
            </w:pPr>
          </w:p>
          <w:p w14:paraId="62E6CB4B" w14:textId="481046F7" w:rsidR="007E491C" w:rsidRDefault="00D37A61" w:rsidP="007E491C">
            <w:pPr>
              <w:spacing w:after="0" w:line="240" w:lineRule="auto"/>
              <w:rPr>
                <w:b/>
              </w:rPr>
            </w:pPr>
            <w:r>
              <w:rPr>
                <w:b/>
              </w:rPr>
              <w:t>Match</w:t>
            </w:r>
            <w:r w:rsidR="007E491C" w:rsidRPr="007E491C">
              <w:rPr>
                <w:b/>
              </w:rPr>
              <w:t xml:space="preserve"> 3:</w:t>
            </w:r>
          </w:p>
          <w:p w14:paraId="23C1C553" w14:textId="059B14C0" w:rsidR="000A3ED7" w:rsidRDefault="000A3ED7" w:rsidP="000A3ED7">
            <w:pPr>
              <w:spacing w:after="0" w:line="240" w:lineRule="auto"/>
            </w:pPr>
            <w:r w:rsidRPr="000A3ED7">
              <w:rPr>
                <w:i/>
              </w:rPr>
              <w:t>Exposed:</w:t>
            </w:r>
            <w:r>
              <w:t xml:space="preserve"> all women who had COVID</w:t>
            </w:r>
            <w:r w:rsidR="009D4180">
              <w:t>-19 infection</w:t>
            </w:r>
            <w:r w:rsidR="000C6865">
              <w:t xml:space="preserve"> during the pandemic widespread testing period</w:t>
            </w:r>
            <w:r w:rsidR="009D4180">
              <w:t xml:space="preserve"> from six</w:t>
            </w:r>
            <w:r>
              <w:t xml:space="preserve"> weeks preconception </w:t>
            </w:r>
            <w:r w:rsidR="00E842EE">
              <w:t>up to</w:t>
            </w:r>
            <w:r>
              <w:t xml:space="preserve"> the end of the </w:t>
            </w:r>
            <w:r w:rsidR="003D16C0">
              <w:t xml:space="preserve">outcome-specific exposure period </w:t>
            </w:r>
            <w:r>
              <w:t xml:space="preserve">(i.e. </w:t>
            </w:r>
            <w:r w:rsidRPr="000A3ED7">
              <w:rPr>
                <w:u w:val="single"/>
              </w:rPr>
              <w:t>including</w:t>
            </w:r>
            <w:r>
              <w:t xml:space="preserve"> any women who receive</w:t>
            </w:r>
            <w:r w:rsidR="00D37A61">
              <w:t>d</w:t>
            </w:r>
            <w:r>
              <w:t xml:space="preserve"> vaccination for COVID-19</w:t>
            </w:r>
            <w:r w:rsidR="00E842EE">
              <w:t xml:space="preserve"> at any time).</w:t>
            </w:r>
          </w:p>
          <w:p w14:paraId="6D390944" w14:textId="5CDE9B3B" w:rsidR="000A3ED7" w:rsidRPr="007E491C" w:rsidRDefault="000A3ED7" w:rsidP="000C37C2">
            <w:pPr>
              <w:spacing w:after="0" w:line="240" w:lineRule="auto"/>
              <w:rPr>
                <w:b/>
              </w:rPr>
            </w:pPr>
            <w:r w:rsidRPr="000A3ED7">
              <w:rPr>
                <w:i/>
              </w:rPr>
              <w:t xml:space="preserve">Unexposed group: </w:t>
            </w:r>
            <w:r>
              <w:t xml:space="preserve">women from the </w:t>
            </w:r>
            <w:r w:rsidR="000C6865">
              <w:t>pandemic widespread testing period</w:t>
            </w:r>
            <w:r>
              <w:t xml:space="preserve"> who did not have confirmed COVID-19 infection</w:t>
            </w:r>
            <w:r w:rsidR="009D4180">
              <w:t xml:space="preserve"> </w:t>
            </w:r>
            <w:r w:rsidR="003D16C0">
              <w:t>from six</w:t>
            </w:r>
            <w:r>
              <w:t xml:space="preserve"> weeks preconception </w:t>
            </w:r>
            <w:r w:rsidR="00E842EE">
              <w:t>up to</w:t>
            </w:r>
            <w:r>
              <w:t xml:space="preserve"> the end of the outcome</w:t>
            </w:r>
            <w:r w:rsidR="00961E13">
              <w:t>-specific</w:t>
            </w:r>
            <w:r>
              <w:t xml:space="preserve"> </w:t>
            </w:r>
            <w:r w:rsidR="00961E13">
              <w:t>exposure</w:t>
            </w:r>
            <w:r>
              <w:t xml:space="preserve"> period</w:t>
            </w:r>
            <w:r w:rsidR="00E842EE">
              <w:t xml:space="preserve"> </w:t>
            </w:r>
            <w:r w:rsidR="00E842EE" w:rsidRPr="00E842EE">
              <w:t>(i.e. including any women who received vaccination for COVID-19 at any time)</w:t>
            </w:r>
            <w:r>
              <w:t>, matched to expos</w:t>
            </w:r>
            <w:r w:rsidR="003D16C0">
              <w:t>ed</w:t>
            </w:r>
            <w:r w:rsidR="000C37C2">
              <w:t xml:space="preserve"> women on maternal age and</w:t>
            </w:r>
            <w:r w:rsidR="00E842EE">
              <w:t xml:space="preserve"> </w:t>
            </w:r>
            <w:r>
              <w:t xml:space="preserve">gestational </w:t>
            </w:r>
            <w:r w:rsidR="00E842EE">
              <w:t>age</w:t>
            </w:r>
            <w:r w:rsidR="000C37C2">
              <w:t xml:space="preserve"> at</w:t>
            </w:r>
            <w:r w:rsidR="00E842EE">
              <w:t xml:space="preserve"> date of infection.</w:t>
            </w:r>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33C3" w16cex:dateUtc="2022-03-15T15:48:00Z"/>
  <w16cex:commentExtensible w16cex:durableId="25DB34F3" w16cex:dateUtc="2022-03-15T15:53:00Z"/>
  <w16cex:commentExtensible w16cex:durableId="25DB3669" w16cex:dateUtc="2022-03-15T15:59:00Z"/>
  <w16cex:commentExtensible w16cex:durableId="25DB47FC" w16cex:dateUtc="2022-03-15T17:14:00Z"/>
  <w16cex:commentExtensible w16cex:durableId="25DB4816" w16cex:dateUtc="2022-03-15T17:15:00Z"/>
  <w16cex:commentExtensible w16cex:durableId="25DB4975" w16cex:dateUtc="2022-03-15T17:20:00Z"/>
  <w16cex:commentExtensible w16cex:durableId="25DB4A21" w16cex:dateUtc="2022-03-15T17:23:00Z"/>
  <w16cex:commentExtensible w16cex:durableId="25DB4B2E" w16cex:dateUtc="2022-03-15T17:28:00Z"/>
  <w16cex:commentExtensible w16cex:durableId="25DB4BBD" w16cex:dateUtc="2022-03-15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F002E" w16cid:durableId="25DB33C3"/>
  <w16cid:commentId w16cid:paraId="1682ECD6" w16cid:durableId="25DB34F3"/>
  <w16cid:commentId w16cid:paraId="00F18189" w16cid:durableId="25DB3669"/>
  <w16cid:commentId w16cid:paraId="16F6FF24" w16cid:durableId="25DB47FC"/>
  <w16cid:commentId w16cid:paraId="12D2F378" w16cid:durableId="25DB4816"/>
  <w16cid:commentId w16cid:paraId="0B9DFE09" w16cid:durableId="25DB4975"/>
  <w16cid:commentId w16cid:paraId="518E7081" w16cid:durableId="25DB4A21"/>
  <w16cid:commentId w16cid:paraId="460C1B73" w16cid:durableId="25DB4B2E"/>
  <w16cid:commentId w16cid:paraId="4E30EE7C" w16cid:durableId="25DB4B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DEB6A" w14:textId="77777777" w:rsidR="00B66D8F" w:rsidRDefault="00B66D8F" w:rsidP="004571C8">
      <w:pPr>
        <w:spacing w:after="0" w:line="240" w:lineRule="auto"/>
      </w:pPr>
      <w:r>
        <w:separator/>
      </w:r>
    </w:p>
  </w:endnote>
  <w:endnote w:type="continuationSeparator" w:id="0">
    <w:p w14:paraId="26728F52" w14:textId="77777777" w:rsidR="00B66D8F" w:rsidRDefault="00B66D8F"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06703"/>
      <w:docPartObj>
        <w:docPartGallery w:val="Page Numbers (Bottom of Page)"/>
        <w:docPartUnique/>
      </w:docPartObj>
    </w:sdtPr>
    <w:sdtEndPr/>
    <w:sdtContent>
      <w:sdt>
        <w:sdtPr>
          <w:id w:val="1728636285"/>
          <w:docPartObj>
            <w:docPartGallery w:val="Page Numbers (Top of Page)"/>
            <w:docPartUnique/>
          </w:docPartObj>
        </w:sdtPr>
        <w:sdtEndPr/>
        <w:sdtContent>
          <w:p w14:paraId="181A6C8A" w14:textId="6A563A3D" w:rsidR="00875F95" w:rsidRDefault="00875F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04EF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4EF4">
              <w:rPr>
                <w:b/>
                <w:bCs/>
                <w:noProof/>
              </w:rPr>
              <w:t>29</w:t>
            </w:r>
            <w:r>
              <w:rPr>
                <w:b/>
                <w:bCs/>
                <w:sz w:val="24"/>
                <w:szCs w:val="24"/>
              </w:rPr>
              <w:fldChar w:fldCharType="end"/>
            </w:r>
          </w:p>
        </w:sdtContent>
      </w:sdt>
    </w:sdtContent>
  </w:sdt>
  <w:p w14:paraId="48C2B98E" w14:textId="77777777" w:rsidR="00875F95" w:rsidRDefault="00875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0610D" w14:textId="77777777" w:rsidR="00B66D8F" w:rsidRDefault="00B66D8F" w:rsidP="004571C8">
      <w:pPr>
        <w:spacing w:after="0" w:line="240" w:lineRule="auto"/>
      </w:pPr>
      <w:r>
        <w:separator/>
      </w:r>
    </w:p>
  </w:footnote>
  <w:footnote w:type="continuationSeparator" w:id="0">
    <w:p w14:paraId="5E23AAFC" w14:textId="77777777" w:rsidR="00B66D8F" w:rsidRDefault="00B66D8F" w:rsidP="004571C8">
      <w:pPr>
        <w:spacing w:after="0" w:line="240" w:lineRule="auto"/>
      </w:pPr>
      <w:r>
        <w:continuationSeparator/>
      </w:r>
    </w:p>
  </w:footnote>
  <w:footnote w:id="1">
    <w:p w14:paraId="4C0760C2" w14:textId="77777777" w:rsidR="00875F95" w:rsidRDefault="00875F95"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5217C62C" w14:textId="77777777" w:rsidR="00875F95" w:rsidRDefault="00875F95"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875F95" w:rsidRDefault="00875F95"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417544EC" w14:textId="77777777" w:rsidR="00875F95" w:rsidRDefault="00875F95"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875F95" w:rsidRDefault="00875F95"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875F95" w:rsidRDefault="00875F95" w:rsidP="003225D0">
      <w:pPr>
        <w:pStyle w:val="FootnoteText"/>
      </w:pPr>
      <w:r>
        <w:rPr>
          <w:rStyle w:val="FootnoteReference"/>
        </w:rPr>
        <w:footnoteRef/>
      </w:r>
      <w:r>
        <w:t xml:space="preserve"> Pavord, S et al (2021). Clinical Features of Vaccine-Induced Immune Thrombocytopenia and Thrombosis. NEJM. </w:t>
      </w:r>
      <w:r w:rsidRPr="003225D0">
        <w:t>DOI: 10.1056/NEJMoa2109908</w:t>
      </w:r>
      <w:r>
        <w:t xml:space="preserve"> </w:t>
      </w:r>
    </w:p>
  </w:footnote>
  <w:footnote w:id="5">
    <w:p w14:paraId="549F5A8B" w14:textId="450B2D3D" w:rsidR="00875F95" w:rsidRPr="00B93F15" w:rsidRDefault="00875F95" w:rsidP="005A74EE">
      <w:pPr>
        <w:pStyle w:val="FootnoteText"/>
        <w:rPr>
          <w:sz w:val="18"/>
        </w:rPr>
      </w:pPr>
      <w:r>
        <w:rPr>
          <w:rStyle w:val="FootnoteReference"/>
        </w:rPr>
        <w:footnoteRef/>
      </w:r>
      <w:r>
        <w:t xml:space="preserve"> </w:t>
      </w:r>
      <w:r w:rsidRPr="00B93F15">
        <w:t xml:space="preserve"> </w:t>
      </w:r>
      <w:r w:rsidRPr="00B93F15">
        <w:rPr>
          <w:sz w:val="18"/>
        </w:rPr>
        <w:t>Donegan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875F95" w:rsidRDefault="00875F95">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671E9"/>
    <w:rsid w:val="000709F2"/>
    <w:rsid w:val="000717CC"/>
    <w:rsid w:val="00073FE6"/>
    <w:rsid w:val="00075969"/>
    <w:rsid w:val="000804ED"/>
    <w:rsid w:val="000814DC"/>
    <w:rsid w:val="00085CDA"/>
    <w:rsid w:val="00087B26"/>
    <w:rsid w:val="00087D11"/>
    <w:rsid w:val="00090407"/>
    <w:rsid w:val="000910C4"/>
    <w:rsid w:val="00096171"/>
    <w:rsid w:val="00096DDE"/>
    <w:rsid w:val="000A055F"/>
    <w:rsid w:val="000A2750"/>
    <w:rsid w:val="000A2C9E"/>
    <w:rsid w:val="000A2D1D"/>
    <w:rsid w:val="000A32C4"/>
    <w:rsid w:val="000A3ED7"/>
    <w:rsid w:val="000A51FC"/>
    <w:rsid w:val="000A610A"/>
    <w:rsid w:val="000A7419"/>
    <w:rsid w:val="000B1E0C"/>
    <w:rsid w:val="000B334C"/>
    <w:rsid w:val="000B62FF"/>
    <w:rsid w:val="000C0CC6"/>
    <w:rsid w:val="000C10D1"/>
    <w:rsid w:val="000C37C2"/>
    <w:rsid w:val="000C6865"/>
    <w:rsid w:val="000D128F"/>
    <w:rsid w:val="000D13E6"/>
    <w:rsid w:val="000D3900"/>
    <w:rsid w:val="000D40D2"/>
    <w:rsid w:val="000D454B"/>
    <w:rsid w:val="000D5DD9"/>
    <w:rsid w:val="000E181D"/>
    <w:rsid w:val="000E2187"/>
    <w:rsid w:val="000E5D71"/>
    <w:rsid w:val="000E7DB0"/>
    <w:rsid w:val="000F62BD"/>
    <w:rsid w:val="00104EF4"/>
    <w:rsid w:val="0010570E"/>
    <w:rsid w:val="00106DC6"/>
    <w:rsid w:val="00114C5D"/>
    <w:rsid w:val="00115B82"/>
    <w:rsid w:val="00120E38"/>
    <w:rsid w:val="00122524"/>
    <w:rsid w:val="00123663"/>
    <w:rsid w:val="0012645B"/>
    <w:rsid w:val="00130CBA"/>
    <w:rsid w:val="001319E5"/>
    <w:rsid w:val="001342F0"/>
    <w:rsid w:val="0013490B"/>
    <w:rsid w:val="0013702A"/>
    <w:rsid w:val="001433FF"/>
    <w:rsid w:val="00143C13"/>
    <w:rsid w:val="0014498A"/>
    <w:rsid w:val="00145C2F"/>
    <w:rsid w:val="00166055"/>
    <w:rsid w:val="00166CA7"/>
    <w:rsid w:val="00170E18"/>
    <w:rsid w:val="001809E5"/>
    <w:rsid w:val="00185870"/>
    <w:rsid w:val="0018645F"/>
    <w:rsid w:val="0019084E"/>
    <w:rsid w:val="001956A9"/>
    <w:rsid w:val="001965D6"/>
    <w:rsid w:val="001A24A2"/>
    <w:rsid w:val="001A714B"/>
    <w:rsid w:val="001B08D6"/>
    <w:rsid w:val="001B0DF7"/>
    <w:rsid w:val="001B139A"/>
    <w:rsid w:val="001B15DB"/>
    <w:rsid w:val="001B31AB"/>
    <w:rsid w:val="001B426F"/>
    <w:rsid w:val="001C09A0"/>
    <w:rsid w:val="001C1A0A"/>
    <w:rsid w:val="001D175A"/>
    <w:rsid w:val="001D1F20"/>
    <w:rsid w:val="001D46D0"/>
    <w:rsid w:val="001D512A"/>
    <w:rsid w:val="001E3AD2"/>
    <w:rsid w:val="001E4212"/>
    <w:rsid w:val="001E680B"/>
    <w:rsid w:val="001F06A7"/>
    <w:rsid w:val="001F10A2"/>
    <w:rsid w:val="001F1CC1"/>
    <w:rsid w:val="001F302A"/>
    <w:rsid w:val="001F5425"/>
    <w:rsid w:val="002026F7"/>
    <w:rsid w:val="002032A4"/>
    <w:rsid w:val="00205F7B"/>
    <w:rsid w:val="002074C9"/>
    <w:rsid w:val="00207CF0"/>
    <w:rsid w:val="002114A2"/>
    <w:rsid w:val="00213C56"/>
    <w:rsid w:val="002147EA"/>
    <w:rsid w:val="00215548"/>
    <w:rsid w:val="00222D2A"/>
    <w:rsid w:val="00227160"/>
    <w:rsid w:val="00244325"/>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866DD"/>
    <w:rsid w:val="00292368"/>
    <w:rsid w:val="0029336C"/>
    <w:rsid w:val="00293497"/>
    <w:rsid w:val="002A3C4A"/>
    <w:rsid w:val="002A6790"/>
    <w:rsid w:val="002B0938"/>
    <w:rsid w:val="002B3581"/>
    <w:rsid w:val="002B47A9"/>
    <w:rsid w:val="002B68D9"/>
    <w:rsid w:val="002B69B6"/>
    <w:rsid w:val="002B703A"/>
    <w:rsid w:val="002C061E"/>
    <w:rsid w:val="002C5981"/>
    <w:rsid w:val="002D32FE"/>
    <w:rsid w:val="002D3B5E"/>
    <w:rsid w:val="002D51AF"/>
    <w:rsid w:val="002E1D85"/>
    <w:rsid w:val="002E35ED"/>
    <w:rsid w:val="002E6B7F"/>
    <w:rsid w:val="002F477C"/>
    <w:rsid w:val="00303575"/>
    <w:rsid w:val="003059E9"/>
    <w:rsid w:val="00306360"/>
    <w:rsid w:val="00314EE1"/>
    <w:rsid w:val="0031691B"/>
    <w:rsid w:val="003225D0"/>
    <w:rsid w:val="0032579C"/>
    <w:rsid w:val="003270A2"/>
    <w:rsid w:val="0033342E"/>
    <w:rsid w:val="00333CE3"/>
    <w:rsid w:val="00333DE9"/>
    <w:rsid w:val="0033424D"/>
    <w:rsid w:val="00334DDC"/>
    <w:rsid w:val="003360D0"/>
    <w:rsid w:val="00337A48"/>
    <w:rsid w:val="00344C1C"/>
    <w:rsid w:val="00351F2A"/>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3F7C73"/>
    <w:rsid w:val="0040650C"/>
    <w:rsid w:val="0041050A"/>
    <w:rsid w:val="004268A5"/>
    <w:rsid w:val="00426E06"/>
    <w:rsid w:val="004272DE"/>
    <w:rsid w:val="004304F0"/>
    <w:rsid w:val="00431C26"/>
    <w:rsid w:val="00433470"/>
    <w:rsid w:val="00437319"/>
    <w:rsid w:val="00446E49"/>
    <w:rsid w:val="004501ED"/>
    <w:rsid w:val="00450855"/>
    <w:rsid w:val="00452E79"/>
    <w:rsid w:val="00455EC7"/>
    <w:rsid w:val="004571C8"/>
    <w:rsid w:val="00462410"/>
    <w:rsid w:val="0046398D"/>
    <w:rsid w:val="00466743"/>
    <w:rsid w:val="004718D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7811"/>
    <w:rsid w:val="0053203B"/>
    <w:rsid w:val="00532A41"/>
    <w:rsid w:val="00537E6B"/>
    <w:rsid w:val="00540F07"/>
    <w:rsid w:val="00541446"/>
    <w:rsid w:val="0054375A"/>
    <w:rsid w:val="00552DF7"/>
    <w:rsid w:val="00552E03"/>
    <w:rsid w:val="00553CC2"/>
    <w:rsid w:val="00553E02"/>
    <w:rsid w:val="00555530"/>
    <w:rsid w:val="00555C36"/>
    <w:rsid w:val="0056086A"/>
    <w:rsid w:val="00560E3B"/>
    <w:rsid w:val="00562165"/>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4FD"/>
    <w:rsid w:val="005A7E23"/>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E5390"/>
    <w:rsid w:val="005F0A31"/>
    <w:rsid w:val="005F7444"/>
    <w:rsid w:val="0060281D"/>
    <w:rsid w:val="006030DC"/>
    <w:rsid w:val="00614481"/>
    <w:rsid w:val="00620494"/>
    <w:rsid w:val="00622B62"/>
    <w:rsid w:val="0062553C"/>
    <w:rsid w:val="0062691B"/>
    <w:rsid w:val="00626B91"/>
    <w:rsid w:val="006308CA"/>
    <w:rsid w:val="00630976"/>
    <w:rsid w:val="006332DE"/>
    <w:rsid w:val="00636992"/>
    <w:rsid w:val="00636CAE"/>
    <w:rsid w:val="0064180C"/>
    <w:rsid w:val="00642FCE"/>
    <w:rsid w:val="00646767"/>
    <w:rsid w:val="00650606"/>
    <w:rsid w:val="00652CC0"/>
    <w:rsid w:val="00652D31"/>
    <w:rsid w:val="006536CA"/>
    <w:rsid w:val="006576A2"/>
    <w:rsid w:val="00657D07"/>
    <w:rsid w:val="00660139"/>
    <w:rsid w:val="0066034B"/>
    <w:rsid w:val="0066400E"/>
    <w:rsid w:val="00670177"/>
    <w:rsid w:val="00671204"/>
    <w:rsid w:val="006719D1"/>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683"/>
    <w:rsid w:val="006E03EB"/>
    <w:rsid w:val="006E6372"/>
    <w:rsid w:val="006F06E0"/>
    <w:rsid w:val="006F099C"/>
    <w:rsid w:val="006F4A49"/>
    <w:rsid w:val="006F518F"/>
    <w:rsid w:val="006F58A2"/>
    <w:rsid w:val="006F7323"/>
    <w:rsid w:val="00701BB5"/>
    <w:rsid w:val="00702E6F"/>
    <w:rsid w:val="00703169"/>
    <w:rsid w:val="007065A0"/>
    <w:rsid w:val="00711785"/>
    <w:rsid w:val="00722E68"/>
    <w:rsid w:val="0072633A"/>
    <w:rsid w:val="00726618"/>
    <w:rsid w:val="00731F9A"/>
    <w:rsid w:val="00735E44"/>
    <w:rsid w:val="007371FE"/>
    <w:rsid w:val="00743793"/>
    <w:rsid w:val="00747160"/>
    <w:rsid w:val="00747A76"/>
    <w:rsid w:val="007503E5"/>
    <w:rsid w:val="007504D8"/>
    <w:rsid w:val="00750FB2"/>
    <w:rsid w:val="00751282"/>
    <w:rsid w:val="0075139C"/>
    <w:rsid w:val="007530FE"/>
    <w:rsid w:val="00753F3B"/>
    <w:rsid w:val="00760C93"/>
    <w:rsid w:val="0076529A"/>
    <w:rsid w:val="00765351"/>
    <w:rsid w:val="007710AD"/>
    <w:rsid w:val="0077258F"/>
    <w:rsid w:val="00772B1B"/>
    <w:rsid w:val="0078040E"/>
    <w:rsid w:val="00780C15"/>
    <w:rsid w:val="00784AAF"/>
    <w:rsid w:val="007851AC"/>
    <w:rsid w:val="0078715D"/>
    <w:rsid w:val="00790EBD"/>
    <w:rsid w:val="00791403"/>
    <w:rsid w:val="00792E10"/>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5EE1"/>
    <w:rsid w:val="007E67C8"/>
    <w:rsid w:val="007E74A0"/>
    <w:rsid w:val="007F0E1F"/>
    <w:rsid w:val="007F1079"/>
    <w:rsid w:val="008018D4"/>
    <w:rsid w:val="00805DB3"/>
    <w:rsid w:val="00811C9E"/>
    <w:rsid w:val="00813FEF"/>
    <w:rsid w:val="008163F3"/>
    <w:rsid w:val="008167CF"/>
    <w:rsid w:val="008229DF"/>
    <w:rsid w:val="00822B8E"/>
    <w:rsid w:val="00823E9C"/>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5EE4"/>
    <w:rsid w:val="00875F95"/>
    <w:rsid w:val="00876668"/>
    <w:rsid w:val="008803AC"/>
    <w:rsid w:val="00883771"/>
    <w:rsid w:val="0088649B"/>
    <w:rsid w:val="0088709F"/>
    <w:rsid w:val="0088773D"/>
    <w:rsid w:val="00887FF6"/>
    <w:rsid w:val="008902F0"/>
    <w:rsid w:val="00894517"/>
    <w:rsid w:val="00897405"/>
    <w:rsid w:val="00897968"/>
    <w:rsid w:val="008A349E"/>
    <w:rsid w:val="008A44E4"/>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F222B"/>
    <w:rsid w:val="008F3083"/>
    <w:rsid w:val="008F39E7"/>
    <w:rsid w:val="008F54EB"/>
    <w:rsid w:val="009011C5"/>
    <w:rsid w:val="00902C25"/>
    <w:rsid w:val="00902DC2"/>
    <w:rsid w:val="00903A45"/>
    <w:rsid w:val="009104BF"/>
    <w:rsid w:val="00921E1C"/>
    <w:rsid w:val="00923090"/>
    <w:rsid w:val="00923B86"/>
    <w:rsid w:val="00935FD8"/>
    <w:rsid w:val="00951226"/>
    <w:rsid w:val="00953F4E"/>
    <w:rsid w:val="0095700C"/>
    <w:rsid w:val="00961A2D"/>
    <w:rsid w:val="00961E13"/>
    <w:rsid w:val="00965D65"/>
    <w:rsid w:val="00966FE2"/>
    <w:rsid w:val="00975348"/>
    <w:rsid w:val="00976BB3"/>
    <w:rsid w:val="00977220"/>
    <w:rsid w:val="00980919"/>
    <w:rsid w:val="00982818"/>
    <w:rsid w:val="00984E33"/>
    <w:rsid w:val="00996DB8"/>
    <w:rsid w:val="00997D8B"/>
    <w:rsid w:val="00997E3B"/>
    <w:rsid w:val="00997F10"/>
    <w:rsid w:val="009A103E"/>
    <w:rsid w:val="009A11F5"/>
    <w:rsid w:val="009A277F"/>
    <w:rsid w:val="009A34FF"/>
    <w:rsid w:val="009A3D07"/>
    <w:rsid w:val="009B2104"/>
    <w:rsid w:val="009B65B8"/>
    <w:rsid w:val="009B70E2"/>
    <w:rsid w:val="009C0062"/>
    <w:rsid w:val="009C18D4"/>
    <w:rsid w:val="009C3228"/>
    <w:rsid w:val="009C3468"/>
    <w:rsid w:val="009D0B9F"/>
    <w:rsid w:val="009D23D2"/>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27EE"/>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A48"/>
    <w:rsid w:val="00A94B62"/>
    <w:rsid w:val="00AA59CA"/>
    <w:rsid w:val="00AA653A"/>
    <w:rsid w:val="00AB0AD6"/>
    <w:rsid w:val="00AB20B6"/>
    <w:rsid w:val="00AB41FA"/>
    <w:rsid w:val="00AB460A"/>
    <w:rsid w:val="00AC2206"/>
    <w:rsid w:val="00AC3D7D"/>
    <w:rsid w:val="00AC69F5"/>
    <w:rsid w:val="00AC7AFF"/>
    <w:rsid w:val="00AD4AF2"/>
    <w:rsid w:val="00AD7C29"/>
    <w:rsid w:val="00AE1CBF"/>
    <w:rsid w:val="00AE5A19"/>
    <w:rsid w:val="00AE62DF"/>
    <w:rsid w:val="00B04CDD"/>
    <w:rsid w:val="00B04DF0"/>
    <w:rsid w:val="00B05EF0"/>
    <w:rsid w:val="00B1200B"/>
    <w:rsid w:val="00B14235"/>
    <w:rsid w:val="00B21A9E"/>
    <w:rsid w:val="00B220C8"/>
    <w:rsid w:val="00B22A2B"/>
    <w:rsid w:val="00B24800"/>
    <w:rsid w:val="00B255EB"/>
    <w:rsid w:val="00B25838"/>
    <w:rsid w:val="00B25FAA"/>
    <w:rsid w:val="00B279EC"/>
    <w:rsid w:val="00B3056D"/>
    <w:rsid w:val="00B31A2B"/>
    <w:rsid w:val="00B320DA"/>
    <w:rsid w:val="00B3230A"/>
    <w:rsid w:val="00B37201"/>
    <w:rsid w:val="00B40B98"/>
    <w:rsid w:val="00B42214"/>
    <w:rsid w:val="00B423DC"/>
    <w:rsid w:val="00B47674"/>
    <w:rsid w:val="00B512E3"/>
    <w:rsid w:val="00B5557B"/>
    <w:rsid w:val="00B577D3"/>
    <w:rsid w:val="00B57D2B"/>
    <w:rsid w:val="00B626DC"/>
    <w:rsid w:val="00B66D8F"/>
    <w:rsid w:val="00B72580"/>
    <w:rsid w:val="00B7371D"/>
    <w:rsid w:val="00B73807"/>
    <w:rsid w:val="00B759B0"/>
    <w:rsid w:val="00B77BD8"/>
    <w:rsid w:val="00B800B5"/>
    <w:rsid w:val="00B879C7"/>
    <w:rsid w:val="00B905AE"/>
    <w:rsid w:val="00B93F15"/>
    <w:rsid w:val="00B966C8"/>
    <w:rsid w:val="00BB0622"/>
    <w:rsid w:val="00BB23E2"/>
    <w:rsid w:val="00BB6086"/>
    <w:rsid w:val="00BB649B"/>
    <w:rsid w:val="00BC4C01"/>
    <w:rsid w:val="00BD0B69"/>
    <w:rsid w:val="00BD30FC"/>
    <w:rsid w:val="00BD4C85"/>
    <w:rsid w:val="00BD5F22"/>
    <w:rsid w:val="00BD6637"/>
    <w:rsid w:val="00BE1A69"/>
    <w:rsid w:val="00BE523A"/>
    <w:rsid w:val="00BE6612"/>
    <w:rsid w:val="00BF0B92"/>
    <w:rsid w:val="00BF40D0"/>
    <w:rsid w:val="00BF74D5"/>
    <w:rsid w:val="00C00CEA"/>
    <w:rsid w:val="00C01619"/>
    <w:rsid w:val="00C058D4"/>
    <w:rsid w:val="00C11930"/>
    <w:rsid w:val="00C15837"/>
    <w:rsid w:val="00C17177"/>
    <w:rsid w:val="00C2201B"/>
    <w:rsid w:val="00C23D1B"/>
    <w:rsid w:val="00C25174"/>
    <w:rsid w:val="00C25434"/>
    <w:rsid w:val="00C3123B"/>
    <w:rsid w:val="00C414CB"/>
    <w:rsid w:val="00C44ABB"/>
    <w:rsid w:val="00C455DF"/>
    <w:rsid w:val="00C45AB5"/>
    <w:rsid w:val="00C561FC"/>
    <w:rsid w:val="00C60DBB"/>
    <w:rsid w:val="00C6436D"/>
    <w:rsid w:val="00C66765"/>
    <w:rsid w:val="00C70663"/>
    <w:rsid w:val="00C70C93"/>
    <w:rsid w:val="00C72D8C"/>
    <w:rsid w:val="00C77918"/>
    <w:rsid w:val="00C8036D"/>
    <w:rsid w:val="00C80530"/>
    <w:rsid w:val="00C83C62"/>
    <w:rsid w:val="00C87DE6"/>
    <w:rsid w:val="00C914B8"/>
    <w:rsid w:val="00C94504"/>
    <w:rsid w:val="00C96325"/>
    <w:rsid w:val="00CA0912"/>
    <w:rsid w:val="00CA5421"/>
    <w:rsid w:val="00CA607F"/>
    <w:rsid w:val="00CB704B"/>
    <w:rsid w:val="00CD3688"/>
    <w:rsid w:val="00CD6805"/>
    <w:rsid w:val="00CE16F9"/>
    <w:rsid w:val="00CE4C55"/>
    <w:rsid w:val="00CE6795"/>
    <w:rsid w:val="00CE6C38"/>
    <w:rsid w:val="00CF1392"/>
    <w:rsid w:val="00D01422"/>
    <w:rsid w:val="00D01869"/>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75719"/>
    <w:rsid w:val="00D80AFE"/>
    <w:rsid w:val="00D814E7"/>
    <w:rsid w:val="00D81F94"/>
    <w:rsid w:val="00D82D2B"/>
    <w:rsid w:val="00D83402"/>
    <w:rsid w:val="00D85F82"/>
    <w:rsid w:val="00D96B32"/>
    <w:rsid w:val="00D96F8F"/>
    <w:rsid w:val="00DA1809"/>
    <w:rsid w:val="00DA2358"/>
    <w:rsid w:val="00DA23AB"/>
    <w:rsid w:val="00DA325B"/>
    <w:rsid w:val="00DA3860"/>
    <w:rsid w:val="00DA43BE"/>
    <w:rsid w:val="00DA7A65"/>
    <w:rsid w:val="00DB12DF"/>
    <w:rsid w:val="00DB12E9"/>
    <w:rsid w:val="00DC2C5E"/>
    <w:rsid w:val="00DC6950"/>
    <w:rsid w:val="00DC7FAE"/>
    <w:rsid w:val="00DD109A"/>
    <w:rsid w:val="00DD3C86"/>
    <w:rsid w:val="00DD4FE7"/>
    <w:rsid w:val="00DD7F9D"/>
    <w:rsid w:val="00DE16E1"/>
    <w:rsid w:val="00DE1768"/>
    <w:rsid w:val="00DE214A"/>
    <w:rsid w:val="00DE3190"/>
    <w:rsid w:val="00DE3376"/>
    <w:rsid w:val="00DE57A2"/>
    <w:rsid w:val="00DE6441"/>
    <w:rsid w:val="00E00FBD"/>
    <w:rsid w:val="00E070F6"/>
    <w:rsid w:val="00E12EF4"/>
    <w:rsid w:val="00E234DF"/>
    <w:rsid w:val="00E23734"/>
    <w:rsid w:val="00E24388"/>
    <w:rsid w:val="00E2791B"/>
    <w:rsid w:val="00E30C80"/>
    <w:rsid w:val="00E35A68"/>
    <w:rsid w:val="00E414F6"/>
    <w:rsid w:val="00E46011"/>
    <w:rsid w:val="00E50ACE"/>
    <w:rsid w:val="00E51601"/>
    <w:rsid w:val="00E5320E"/>
    <w:rsid w:val="00E56F05"/>
    <w:rsid w:val="00E5721D"/>
    <w:rsid w:val="00E66C50"/>
    <w:rsid w:val="00E7278A"/>
    <w:rsid w:val="00E73C7E"/>
    <w:rsid w:val="00E7662E"/>
    <w:rsid w:val="00E776C8"/>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575A"/>
    <w:rsid w:val="00EF59D1"/>
    <w:rsid w:val="00EF6D75"/>
    <w:rsid w:val="00F0730B"/>
    <w:rsid w:val="00F127A9"/>
    <w:rsid w:val="00F15016"/>
    <w:rsid w:val="00F159E8"/>
    <w:rsid w:val="00F15D9D"/>
    <w:rsid w:val="00F16BD8"/>
    <w:rsid w:val="00F21830"/>
    <w:rsid w:val="00F228DE"/>
    <w:rsid w:val="00F26917"/>
    <w:rsid w:val="00F2721B"/>
    <w:rsid w:val="00F27CFF"/>
    <w:rsid w:val="00F2EFF6"/>
    <w:rsid w:val="00F319BD"/>
    <w:rsid w:val="00F323AB"/>
    <w:rsid w:val="00F3485C"/>
    <w:rsid w:val="00F34FF4"/>
    <w:rsid w:val="00F3799B"/>
    <w:rsid w:val="00F43FA3"/>
    <w:rsid w:val="00F442F2"/>
    <w:rsid w:val="00F45ED0"/>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3FA"/>
    <w:rsid w:val="00F836E5"/>
    <w:rsid w:val="00F83E0A"/>
    <w:rsid w:val="00F9394A"/>
    <w:rsid w:val="00F940CC"/>
    <w:rsid w:val="00F94B48"/>
    <w:rsid w:val="00F96DDB"/>
    <w:rsid w:val="00FA2262"/>
    <w:rsid w:val="00FA2A33"/>
    <w:rsid w:val="00FA380F"/>
    <w:rsid w:val="00FA460E"/>
    <w:rsid w:val="00FA7234"/>
    <w:rsid w:val="00FB0D0B"/>
    <w:rsid w:val="00FB2158"/>
    <w:rsid w:val="00FB321A"/>
    <w:rsid w:val="00FB7D7D"/>
    <w:rsid w:val="00FC6B1B"/>
    <w:rsid w:val="00FC7BAA"/>
    <w:rsid w:val="00FD0B30"/>
    <w:rsid w:val="00FD1D62"/>
    <w:rsid w:val="00FD2B0C"/>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1">
    <w:name w:val="Unresolved Mention1"/>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v.uk/government/publications/report-of-the-commission-on-human-medicines-expert-working-group-on-covid-19-vaccine-safety-surveillance" TargetMode="External"/><Relationship Id="rId26" Type="http://schemas.openxmlformats.org/officeDocument/2006/relationships/hyperlink" Target="https://www.medicinesinpregnancy.org/Medicine--pregnancy/COVID-19-Vaccine/" TargetMode="External"/><Relationship Id="rId39" Type="http://schemas.openxmlformats.org/officeDocument/2006/relationships/hyperlink" Target="https://www.bmj.com/content/369/bmj.m2107" TargetMode="External"/><Relationship Id="rId3" Type="http://schemas.openxmlformats.org/officeDocument/2006/relationships/customXml" Target="../customXml/item3.xml"/><Relationship Id="rId21" Type="http://schemas.openxmlformats.org/officeDocument/2006/relationships/hyperlink" Target="https://www.bestinitiative.org/vaccines-and-allergenics" TargetMode="External"/><Relationship Id="rId34" Type="http://schemas.openxmlformats.org/officeDocument/2006/relationships/hyperlink" Target="https://www.rcog.org.uk/en/guidelines-research-services/guidelines/" TargetMode="External"/><Relationship Id="rId42" Type="http://schemas.openxmlformats.org/officeDocument/2006/relationships/hyperlink" Target="https://www.birmingham.ac.uk/research/who-collaborating-centre/pregcov/index.aspx" TargetMode="External"/><Relationship Id="rId7" Type="http://schemas.openxmlformats.org/officeDocument/2006/relationships/settings" Target="settings.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coronavirus-covid-19-vaccine-adverse-reactions" TargetMode="External"/><Relationship Id="rId25" Type="http://schemas.openxmlformats.org/officeDocument/2006/relationships/hyperlink" Target="https://eu-rd-platform.jrc.ec.europa.eu/eurocat_en" TargetMode="External"/><Relationship Id="rId33" Type="http://schemas.openxmlformats.org/officeDocument/2006/relationships/hyperlink" Target="https://brightoncollaboration.us/gaia/" TargetMode="External"/><Relationship Id="rId38" Type="http://schemas.openxmlformats.org/officeDocument/2006/relationships/hyperlink" Target="http://www.encepp.eu/encepp/viewResource.htm?id=41101" TargetMode="External"/><Relationship Id="rId2" Type="http://schemas.openxmlformats.org/officeDocument/2006/relationships/customXml" Target="../customXml/item2.xml"/><Relationship Id="rId16" Type="http://schemas.openxmlformats.org/officeDocument/2006/relationships/hyperlink" Target="https://www.gov.uk/government/publications/regulatory-approval-of-covid-19-vaccine-astrazeneca" TargetMode="External"/><Relationship Id="rId20" Type="http://schemas.openxmlformats.org/officeDocument/2006/relationships/hyperlink" Target="https://www.gov.uk/guidance/vaccination-in-pregnancy-vip" TargetMode="External"/><Relationship Id="rId29" Type="http://schemas.openxmlformats.org/officeDocument/2006/relationships/hyperlink" Target="https://apps.who.int/iris/handle/10665/338400" TargetMode="External"/><Relationship Id="rId41" Type="http://schemas.openxmlformats.org/officeDocument/2006/relationships/hyperlink" Target="https://jamanetwork.com/journals/jamapediatrics/fullarticle/27791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www.icbdsr.org/" TargetMode="External"/><Relationship Id="rId32" Type="http://schemas.openxmlformats.org/officeDocument/2006/relationships/hyperlink" Target="https://brightoncollaboration.us/" TargetMode="External"/><Relationship Id="rId37" Type="http://schemas.openxmlformats.org/officeDocument/2006/relationships/hyperlink" Target="https://corona.pregistry.com/cviper" TargetMode="External"/><Relationship Id="rId40" Type="http://schemas.openxmlformats.org/officeDocument/2006/relationships/hyperlink" Target="https://www.ajog.org/article/S0002-9378(21)00565-2/fulltext"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pfizer-biontech-vaccine-for-covid-19" TargetMode="External"/><Relationship Id="rId23" Type="http://schemas.openxmlformats.org/officeDocument/2006/relationships/hyperlink" Target="https://www.who.int/initiatives/act-accelerator/covax" TargetMode="External"/><Relationship Id="rId28" Type="http://schemas.openxmlformats.org/officeDocument/2006/relationships/hyperlink" Target="https://www.who.int/publications/m/item/safety-surveillance-of-covid-19-vaccines-in-pregnant-and-breastfeeding-women" TargetMode="External"/><Relationship Id="rId36" Type="http://schemas.openxmlformats.org/officeDocument/2006/relationships/hyperlink" Target="https://www.nejm.org/doi/10.1056/NEJMoa2104983" TargetMode="External"/><Relationship Id="rId49"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www.gov.uk/government/publications/covid-19-vaccine-surveillance-strategy" TargetMode="External"/><Relationship Id="rId31" Type="http://schemas.openxmlformats.org/officeDocument/2006/relationships/hyperlink" Target="http://www.encepp.eu/encepp/openAttachment/fullProtocol/37296;jsessionid=gcYfr6HBMTY-QycjtWODhMHJ6uQ-2THoP7zw5hnKDHaTwKWarjE6!45688488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edris@phs.scot" TargetMode="External"/><Relationship Id="rId22" Type="http://schemas.openxmlformats.org/officeDocument/2006/relationships/hyperlink" Target="https://brightoncollaboration.us/covid-19/" TargetMode="External"/><Relationship Id="rId27" Type="http://schemas.openxmlformats.org/officeDocument/2006/relationships/hyperlink" Target="https://www.imi-conception.eu/wp-content/uploads/2021/03/ConcePTION-D1.2.pdf" TargetMode="External"/><Relationship Id="rId30" Type="http://schemas.openxmlformats.org/officeDocument/2006/relationships/hyperlink" Target="https://vac4eu.org/covid-19-vaccine-monitoring/" TargetMode="External"/><Relationship Id="rId35" Type="http://schemas.openxmlformats.org/officeDocument/2006/relationships/hyperlink" Target="https://www.nice.org.uk/guidance/conditions-and-diseases/fertility--pregnancy-and-childbirth" TargetMode="External"/><Relationship Id="rId43" Type="http://schemas.openxmlformats.org/officeDocument/2006/relationships/fontTable" Target="fontTable.xml"/><Relationship Id="rId48"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2.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F086EE-A501-4799-B055-0CF888F6B1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F972CD-7AD6-4DC2-9D81-3EDBE195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9734</Words>
  <Characters>55487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65091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Clara Calvert</cp:lastModifiedBy>
  <cp:revision>2</cp:revision>
  <cp:lastPrinted>2022-03-15T15:23:00Z</cp:lastPrinted>
  <dcterms:created xsi:type="dcterms:W3CDTF">2022-05-27T16:09:00Z</dcterms:created>
  <dcterms:modified xsi:type="dcterms:W3CDTF">2022-05-27T16:09:00Z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