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7EA5D953" w:rsidR="00657D07" w:rsidRDefault="004571C8" w:rsidP="004571C8">
      <w:pPr>
        <w:pStyle w:val="Heading2"/>
      </w:pPr>
      <w:r>
        <w:t>Dr</w:t>
      </w:r>
      <w:r w:rsidR="000A2D1D">
        <w:t xml:space="preserve">aft analytical plan, version </w:t>
      </w:r>
      <w:r w:rsidR="0018645F">
        <w:t>1.</w:t>
      </w:r>
      <w:r w:rsidR="00E21CE8">
        <w:t>9</w:t>
      </w:r>
    </w:p>
    <w:p w14:paraId="7D434D0C" w14:textId="5ED82004" w:rsidR="004571C8" w:rsidRDefault="00305BDE" w:rsidP="004571C8">
      <w:pPr>
        <w:pStyle w:val="Heading2"/>
      </w:pPr>
      <w:r>
        <w:t>2</w:t>
      </w:r>
      <w:r w:rsidR="00E21CE8">
        <w:t>4</w:t>
      </w:r>
      <w:r w:rsidR="009F5237">
        <w:t>/</w:t>
      </w:r>
      <w:r w:rsidR="00AC69F5">
        <w:t>0</w:t>
      </w:r>
      <w:r w:rsidR="00E21CE8">
        <w:t>8</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r w:rsidR="00A427EE" w:rsidRPr="00A427EE">
        <w:t>On the 16th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53C7878F"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w:t>
      </w:r>
      <w:r w:rsidR="00786C8E">
        <w:t>e</w:t>
      </w:r>
      <w:r w:rsidR="0002519D">
        <w:t>s will draw the unvaccinated pregnant women from the pre-pandemic period</w:t>
      </w:r>
      <w:r w:rsidR="002862C8">
        <w:t xml:space="preserve"> (unless inappro</w:t>
      </w:r>
      <w:r w:rsidR="001E518D">
        <w:t>priate</w:t>
      </w:r>
      <w:r w:rsidR="006E3D37">
        <w:t xml:space="preserve"> for a specific outcome</w:t>
      </w:r>
      <w:r w:rsidR="002862C8">
        <w:t>; further description in section 3.6</w:t>
      </w:r>
      <w:r w:rsidR="001E518D">
        <w:t>)</w:t>
      </w:r>
      <w:r w:rsidR="0002519D">
        <w:t>,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2F53B831"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D75FF8">
        <w:t>is</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9B3742D"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See Appendix 2 for full rational and sources of information behind included outcomes, definitions, timings etc. as presented in Table 2.</w:t>
      </w:r>
      <w:r w:rsidR="00EF2149">
        <w:t xml:space="preserve"> For analyses of outcomes which rely on reference data (i.e. microcephaly and small for gestational age), we will restrict the study population to only babies which can be linked to the reference standard. </w:t>
      </w:r>
      <w:r>
        <w:t xml:space="preserve">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w:t>
      </w:r>
      <w:r w:rsidR="00382E4F">
        <w:lastRenderedPageBreak/>
        <w:t xml:space="preserve">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0C4E6299" w:rsidR="002A6790" w:rsidRPr="00FB7D7D" w:rsidRDefault="002A6790" w:rsidP="0024761C">
      <w:pPr>
        <w:spacing w:before="240" w:after="0" w:line="276" w:lineRule="auto"/>
      </w:pPr>
      <w:r w:rsidRPr="00FB7D7D">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r w:rsidR="00EF2149">
        <w:t xml:space="preserve"> </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1A80F885" w:rsidR="002A6790" w:rsidRPr="0032579C" w:rsidRDefault="00244325"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fetal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598D2B5F"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2BC65F11"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1EE2116A"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&lt;2SD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r>
            <w:r w:rsidRPr="0032579C">
              <w:rPr>
                <w:rFonts w:eastAsia="Times New Roman" w:cstheme="minorHAnsi"/>
                <w:color w:val="000000"/>
                <w:lang w:eastAsia="en-GB"/>
              </w:rPr>
              <w:lastRenderedPageBreak/>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19939DC3"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43144F18"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0D9A568C" w:rsidR="002A6790" w:rsidRPr="0032579C" w:rsidRDefault="002A6790" w:rsidP="00EF24F3">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r w:rsidR="001E518D">
              <w:rPr>
                <w:rFonts w:eastAsia="Times New Roman" w:cstheme="minorHAnsi"/>
                <w:color w:val="000000"/>
                <w:lang w:eastAsia="en-GB"/>
              </w:rPr>
              <w:t>in term births</w:t>
            </w:r>
            <w:r w:rsidRPr="0032579C">
              <w:rPr>
                <w:rFonts w:eastAsia="Times New Roman" w:cstheme="minorHAnsi"/>
                <w:color w:val="000000"/>
                <w:lang w:eastAsia="en-GB"/>
              </w:rPr>
              <w:t xml:space="preserve"> </w:t>
            </w:r>
            <w:r w:rsidR="00EF24F3">
              <w:rPr>
                <w:rFonts w:eastAsia="Times New Roman" w:cstheme="minorHAnsi"/>
                <w:color w:val="000000"/>
                <w:lang w:eastAsia="en-GB"/>
              </w:rPr>
              <w:t>(≥37 weeks gestation)</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072CD73B"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r w:rsidR="001E518D">
              <w:rPr>
                <w:rFonts w:eastAsia="Times New Roman" w:cstheme="minorHAnsi"/>
                <w:color w:val="000000"/>
                <w:lang w:eastAsia="en-GB"/>
              </w:rPr>
              <w:t>in term births</w:t>
            </w:r>
            <w:r w:rsidR="00EF24F3">
              <w:rPr>
                <w:rFonts w:eastAsia="Times New Roman" w:cstheme="minorHAnsi"/>
                <w:color w:val="000000"/>
                <w:lang w:eastAsia="en-GB"/>
              </w:rPr>
              <w:t xml:space="preserve"> (≥37 weeks gestation)</w:t>
            </w:r>
            <w:r w:rsidRPr="0032579C">
              <w:rPr>
                <w:rFonts w:eastAsia="Times New Roman" w:cstheme="minorHAnsi"/>
                <w:color w:val="000000"/>
                <w:lang w:eastAsia="en-GB"/>
              </w:rPr>
              <w:t xml:space="preserv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lastRenderedPageBreak/>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61D17252"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w:t>
      </w:r>
      <w:r w:rsidR="00305BDE">
        <w:t>and (2</w:t>
      </w:r>
      <w:r w:rsidR="006C0DB1">
        <w:t xml:space="preserve">) by the </w:t>
      </w:r>
      <w:r w:rsidR="00213C56">
        <w:t>type of vaccine</w:t>
      </w:r>
      <w:r>
        <w:t>(s)</w:t>
      </w:r>
      <w:r w:rsidR="00213C56">
        <w:t xml:space="preserve"> received</w:t>
      </w:r>
      <w:r w:rsidR="00305BDE">
        <w:t xml:space="preserve"> (or class of vaccine if numbers are too small to look at type of vaccine)</w:t>
      </w:r>
      <w:r w:rsidR="00213C56">
        <w:t xml:space="preserve">. </w:t>
      </w:r>
      <w:r w:rsidR="00765351">
        <w:t>For the latter</w:t>
      </w:r>
      <w:r w:rsidR="006C0DB1">
        <w:t xml:space="preserve"> </w:t>
      </w:r>
      <w:r w:rsidR="00765351">
        <w:t>subgroup analys</w:t>
      </w:r>
      <w:r w:rsidR="00A97E86">
        <w:t>i</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840B3E4" w:rsidR="0060281D" w:rsidRPr="00940804" w:rsidRDefault="00DE1768" w:rsidP="00C8036D">
      <w:r>
        <w:t>*Currently disaggregat</w:t>
      </w:r>
      <w:r w:rsidR="00831EFB">
        <w:t>ed</w:t>
      </w:r>
      <w:r>
        <w:t xml:space="preserve">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7B8B3D5"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r w:rsidR="00104EF4">
        <w:t xml:space="preserve"> </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r w:rsidR="00523F84" w14:paraId="0AB1E8EC" w14:textId="77777777" w:rsidTr="00523F84">
        <w:trPr>
          <w:trHeight w:val="20"/>
        </w:trPr>
        <w:tc>
          <w:tcPr>
            <w:tcW w:w="2136" w:type="dxa"/>
          </w:tcPr>
          <w:p w14:paraId="23F54B85" w14:textId="5626D731" w:rsidR="00523F84" w:rsidRDefault="00523F84" w:rsidP="00523F84">
            <w:pPr>
              <w:spacing w:after="0" w:line="240" w:lineRule="auto"/>
            </w:pPr>
            <w:r>
              <w:t>Singleton or multiple</w:t>
            </w:r>
          </w:p>
        </w:tc>
        <w:tc>
          <w:tcPr>
            <w:tcW w:w="2402" w:type="dxa"/>
          </w:tcPr>
          <w:p w14:paraId="145EE524" w14:textId="5C2A46B2" w:rsidR="00523F84" w:rsidRDefault="00523F84" w:rsidP="00523F84">
            <w:pPr>
              <w:spacing w:after="0" w:line="240" w:lineRule="auto"/>
              <w:rPr>
                <w:rFonts w:ascii="Calibri" w:hAnsi="Calibri" w:cs="Calibri"/>
                <w:color w:val="000000"/>
              </w:rPr>
            </w:pPr>
            <w:r>
              <w:t>Singleton</w:t>
            </w:r>
          </w:p>
        </w:tc>
        <w:tc>
          <w:tcPr>
            <w:tcW w:w="4388" w:type="dxa"/>
            <w:vMerge w:val="restart"/>
          </w:tcPr>
          <w:p w14:paraId="178955EB" w14:textId="7A2AC7E9" w:rsidR="00523F84" w:rsidRDefault="00523F84" w:rsidP="00523F84">
            <w:pPr>
              <w:spacing w:after="0" w:line="240" w:lineRule="auto"/>
              <w:rPr>
                <w:rFonts w:ascii="Calibri" w:hAnsi="Calibri" w:cs="Calibri"/>
                <w:color w:val="000000"/>
              </w:rPr>
            </w:pPr>
            <w:r>
              <w:rPr>
                <w:rFonts w:ascii="Calibri" w:hAnsi="Calibri" w:cs="Calibri"/>
                <w:color w:val="000000"/>
              </w:rPr>
              <w:t xml:space="preserve">This will not be included in all analyses (e.g. if the analysis is restricted to singleton births) but will be included where appropriate. </w:t>
            </w:r>
          </w:p>
        </w:tc>
      </w:tr>
      <w:tr w:rsidR="00523F84" w14:paraId="2FE67508" w14:textId="77777777" w:rsidTr="00523F84">
        <w:trPr>
          <w:trHeight w:val="20"/>
        </w:trPr>
        <w:tc>
          <w:tcPr>
            <w:tcW w:w="2136" w:type="dxa"/>
          </w:tcPr>
          <w:p w14:paraId="66416353" w14:textId="30A75466" w:rsidR="00523F84" w:rsidRDefault="00523F84" w:rsidP="00523F84">
            <w:pPr>
              <w:spacing w:after="0" w:line="240" w:lineRule="auto"/>
            </w:pPr>
          </w:p>
        </w:tc>
        <w:tc>
          <w:tcPr>
            <w:tcW w:w="2402" w:type="dxa"/>
          </w:tcPr>
          <w:p w14:paraId="758C4CD4" w14:textId="5CE6FE9E" w:rsidR="00523F84" w:rsidRDefault="00523F84" w:rsidP="00523F84">
            <w:pPr>
              <w:spacing w:after="0" w:line="240" w:lineRule="auto"/>
              <w:rPr>
                <w:rFonts w:ascii="Calibri" w:hAnsi="Calibri" w:cs="Calibri"/>
                <w:color w:val="000000"/>
              </w:rPr>
            </w:pPr>
            <w:r>
              <w:t>Multiple</w:t>
            </w:r>
          </w:p>
        </w:tc>
        <w:tc>
          <w:tcPr>
            <w:tcW w:w="4388" w:type="dxa"/>
            <w:vMerge/>
          </w:tcPr>
          <w:p w14:paraId="226C4D84" w14:textId="77777777" w:rsidR="00523F84" w:rsidRDefault="00523F84" w:rsidP="00523F84">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lastRenderedPageBreak/>
        <w:t>3.</w:t>
      </w:r>
      <w:r w:rsidR="0012645B">
        <w:t>6</w:t>
      </w:r>
      <w:r w:rsidR="003A38BE">
        <w:t>: Cohort study matching</w:t>
      </w:r>
    </w:p>
    <w:p w14:paraId="01D775F0" w14:textId="555B5F25"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Only 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w:t>
      </w:r>
      <w:r w:rsidR="00476072">
        <w:t>Where appropriate, we will</w:t>
      </w:r>
      <w:r w:rsidR="00B47CA3">
        <w:t xml:space="preserve"> conduct a</w:t>
      </w:r>
      <w:r w:rsidR="00AE62DF">
        <w:t xml:space="preserve"> </w:t>
      </w:r>
      <w:r w:rsidR="00FD1D62">
        <w:t>sensitivity</w:t>
      </w:r>
      <w:r w:rsidR="00AE62DF">
        <w:t xml:space="preserve"> analysis, </w:t>
      </w:r>
      <w:r w:rsidR="00FD1D62">
        <w:t xml:space="preserve">removing women who are vaccinated in the six weeks preconception – and her controls – from the analysis. </w:t>
      </w:r>
      <w:r w:rsidR="00831EFB">
        <w:t xml:space="preserve">For congenital anomalies, we will undertake a further sensitivity analysis restricting the exposure period to between six weeks preconception up to 9+6 weeks gestation if we see any signal of association in the primary analysis. </w:t>
      </w:r>
    </w:p>
    <w:p w14:paraId="05299AE4" w14:textId="680503B6"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w:t>
      </w:r>
      <w:r w:rsidR="00BF1302">
        <w:t>outcome-specific exposure period</w:t>
      </w:r>
      <w:r w:rsidR="00B14235">
        <w:t>.</w:t>
      </w:r>
      <w:r w:rsidR="00A242E6" w:rsidRPr="008A5A42">
        <w:t xml:space="preserve"> </w:t>
      </w:r>
      <w:r w:rsidR="00B626DC">
        <w:t>For</w:t>
      </w:r>
      <w:r w:rsidR="00B14235">
        <w:t xml:space="preserve"> </w:t>
      </w:r>
      <w:r w:rsidR="00786C8E">
        <w:t>this</w:t>
      </w:r>
      <w:r w:rsidR="00B626DC">
        <w:t xml:space="preserve"> supplementary analys</w:t>
      </w:r>
      <w:r w:rsidR="00786C8E">
        <w:t>i</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r w:rsidR="00C92960">
        <w:t xml:space="preserve">For </w:t>
      </w:r>
      <w:r w:rsidR="001E518D">
        <w:t xml:space="preserve">outcomes where there are known changes in the ascertainment in the outcome over time, we will not use historical controls and only use contemporary controls.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lastRenderedPageBreak/>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57E37E5E" w:rsidR="00B626DC" w:rsidRDefault="00786C8E" w:rsidP="00B626DC">
            <w:pPr>
              <w:spacing w:line="276" w:lineRule="auto"/>
            </w:pPr>
            <w:r>
              <w:t xml:space="preserve">Supplementary analysis </w:t>
            </w:r>
          </w:p>
        </w:tc>
        <w:tc>
          <w:tcPr>
            <w:tcW w:w="2810" w:type="dxa"/>
          </w:tcPr>
          <w:p w14:paraId="7B107E02" w14:textId="78887331"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w:t>
            </w:r>
            <w:r w:rsidR="00BF1302">
              <w:t>outcome-specific exposure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xml:space="preserve">. By convention, </w:t>
      </w:r>
      <w:r w:rsidR="001D512A" w:rsidRPr="0051483C">
        <w:lastRenderedPageBreak/>
        <w:t>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lastRenderedPageBreak/>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0BCCF2A2"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w:t>
      </w:r>
      <w:r w:rsidR="00523F84">
        <w:t xml:space="preserve">(except singleton or multiple births which will only be included where appropriate, as described in more detail at the end of this section) </w:t>
      </w:r>
      <w:r w:rsidR="00367B85">
        <w:t>(Table 4)</w:t>
      </w:r>
      <w:r w:rsidR="00726618" w:rsidRPr="00DE3376">
        <w:t>.</w:t>
      </w:r>
      <w:r w:rsidR="00104EF4">
        <w:t xml:space="preserve"> The exception to this will be for early pregnancy outcomes, where we will not include covariates that rely on data from SMR02 delivery records (i.e. BMI, smoking status and diabetes) in the models as these will have high levels of missing data for these outcomes of interest.</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7C56552F"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and then in sub-group analyses stratified by in</w:t>
      </w:r>
      <w:r>
        <w:t>dividual vaccine types</w:t>
      </w:r>
      <w:r w:rsidR="00F35519">
        <w:t xml:space="preserve"> (or vaccine group if numbers are too small to allow analyses by vaccine type) and number of vaccines (for outcomes with longer exposure periods)</w:t>
      </w:r>
      <w:r>
        <w:t>;</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51317E49" w14:textId="5093328D" w:rsidR="00305BDE" w:rsidRDefault="005E5390" w:rsidP="00305BDE">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3A0727D6" w14:textId="6A8EB849" w:rsidR="00305BDE" w:rsidRDefault="00305BDE" w:rsidP="00305BDE">
      <w:pPr>
        <w:spacing w:line="276" w:lineRule="auto"/>
      </w:pPr>
      <w:r>
        <w:t>Subgroup analyses will be conducted for the primary analysis (</w:t>
      </w:r>
      <w:r w:rsidR="00A97E86">
        <w:t>historical</w:t>
      </w:r>
      <w:r>
        <w:t xml:space="preserve"> controls) and, if there is evidence for an </w:t>
      </w:r>
      <w:r w:rsidR="00A97E86">
        <w:t>association using historical controls</w:t>
      </w:r>
      <w:r>
        <w:t>, then also conducted for the supplementary analysis (</w:t>
      </w:r>
      <w:r w:rsidR="00A97E86">
        <w:t>contemporary</w:t>
      </w:r>
      <w:r>
        <w:t xml:space="preserve"> controls). </w:t>
      </w:r>
    </w:p>
    <w:p w14:paraId="23449575" w14:textId="6425EB77" w:rsidR="00F940CC" w:rsidRPr="00DE3376" w:rsidRDefault="00F940CC" w:rsidP="002D51AF">
      <w:pPr>
        <w:spacing w:line="276" w:lineRule="auto"/>
      </w:pPr>
      <w:r>
        <w:t>Our main analyses will include all pregnancies/births, regardless of whether there is evidence that it was singleton or multiple</w:t>
      </w:r>
      <w:r w:rsidR="00EF2149">
        <w:t xml:space="preserve"> for the analyses of</w:t>
      </w:r>
      <w:r w:rsidR="002862C8">
        <w:t xml:space="preserve"> </w:t>
      </w:r>
      <w:r w:rsidR="00EF24F3">
        <w:t>early</w:t>
      </w:r>
      <w:r w:rsidR="002862C8">
        <w:t xml:space="preserve"> pregnancy outcomes</w:t>
      </w:r>
      <w:r w:rsidR="00EF2149">
        <w:t xml:space="preserve"> (miscarriage and ectopic pregnancy)</w:t>
      </w:r>
      <w:r w:rsidR="002862C8">
        <w:t xml:space="preserve">, </w:t>
      </w:r>
      <w:r w:rsidR="004017E6">
        <w:t xml:space="preserve">as well as congenital anomalies. </w:t>
      </w:r>
      <w:r w:rsidR="00523F84">
        <w:t>We will adjust for whether the birth was singleton or multiple in the congenital anomaly analysis</w:t>
      </w:r>
      <w:r w:rsidR="00EF2149">
        <w:t xml:space="preserve"> but, due to not knowing the singleton/multiple status for many pregnancies with an early loss, this will not be included in the early pregnancy analysis</w:t>
      </w:r>
      <w:r w:rsidR="00523F84">
        <w:t xml:space="preserve">. </w:t>
      </w:r>
      <w:r w:rsidR="004017E6">
        <w:t>F</w:t>
      </w:r>
      <w:r w:rsidR="002862C8">
        <w:t xml:space="preserve">or </w:t>
      </w:r>
      <w:r w:rsidR="001E518D">
        <w:t xml:space="preserve">the </w:t>
      </w:r>
      <w:r w:rsidR="002862C8">
        <w:lastRenderedPageBreak/>
        <w:t xml:space="preserve">other </w:t>
      </w:r>
      <w:r w:rsidR="001E518D">
        <w:t>baby outcomes</w:t>
      </w:r>
      <w:r w:rsidR="00EF24F3">
        <w:t xml:space="preserve"> and maternal outcomes</w:t>
      </w:r>
      <w:r w:rsidR="004017E6">
        <w:t>, descriptive data will be produced for both multiple and singleton births</w:t>
      </w:r>
      <w:r w:rsidR="00EF2149">
        <w:t>/pregnancies</w:t>
      </w:r>
      <w:r w:rsidR="004017E6">
        <w:t>, but the models will be restricted to singleton births</w:t>
      </w:r>
      <w:r w:rsidR="00EF2149">
        <w:t>/pregnancies</w:t>
      </w:r>
      <w:r w:rsidR="004017E6">
        <w:t xml:space="preserve"> only</w:t>
      </w:r>
      <w:r w:rsidR="001E518D">
        <w:t xml:space="preserve">. </w:t>
      </w:r>
    </w:p>
    <w:p w14:paraId="54B03340" w14:textId="1DA72EE7" w:rsidR="008D2810" w:rsidRDefault="008D2810" w:rsidP="008D2810">
      <w:pPr>
        <w:pStyle w:val="Heading2"/>
      </w:pPr>
      <w:r>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w:t>
      </w:r>
      <w:r>
        <w:rPr>
          <w:rFonts w:cstheme="minorHAnsi"/>
        </w:rPr>
        <w:lastRenderedPageBreak/>
        <w:t xml:space="preserve">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(ENCePP) code of conduct including the requirement for unrestricted freedom of the investigator to publish.</w:t>
      </w:r>
    </w:p>
    <w:p w14:paraId="0FBC747F" w14:textId="2E0AFFDD" w:rsidR="00F16BD8" w:rsidRPr="00811C9E" w:rsidRDefault="00CD6805" w:rsidP="00F16BD8">
      <w:pPr>
        <w:pStyle w:val="Heading1"/>
      </w:pPr>
      <w:r>
        <w:lastRenderedPageBreak/>
        <w:t>7.0 Data A</w:t>
      </w:r>
      <w:r w:rsidR="00F16BD8">
        <w:t>ccess</w:t>
      </w:r>
    </w:p>
    <w:p w14:paraId="4124F3C3" w14:textId="6A06C7DB" w:rsidR="00F16BD8" w:rsidRDefault="00F16BD8" w:rsidP="00F16BD8">
      <w:pPr>
        <w:rPr>
          <w:color w:val="1F497D"/>
        </w:rPr>
      </w:pPr>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59048532" w:rsidR="00F96DDB" w:rsidRDefault="00244325" w:rsidP="00E2791B">
            <w:r>
              <w:t>Revisions to version 1.2</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(e.g.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lastRenderedPageBreak/>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Vaccination/infection may change risk of preterm birth which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1126B621" w14:textId="77777777" w:rsidR="00244325" w:rsidRDefault="00244325">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44325" w14:paraId="2B305DC2" w14:textId="77777777" w:rsidTr="00211D7C">
        <w:tc>
          <w:tcPr>
            <w:tcW w:w="9016" w:type="dxa"/>
            <w:gridSpan w:val="3"/>
          </w:tcPr>
          <w:p w14:paraId="03ECB6E0" w14:textId="555FF027" w:rsidR="00244325" w:rsidRDefault="00244325" w:rsidP="00244325">
            <w:r>
              <w:t>Revisions to version 1.4: 12</w:t>
            </w:r>
            <w:r w:rsidRPr="00751282">
              <w:rPr>
                <w:vertAlign w:val="superscript"/>
              </w:rPr>
              <w:t>th</w:t>
            </w:r>
            <w:r>
              <w:t xml:space="preserve"> May 2022</w:t>
            </w:r>
          </w:p>
        </w:tc>
      </w:tr>
      <w:tr w:rsidR="00244325" w:rsidRPr="001B08D6" w14:paraId="50246374" w14:textId="77777777" w:rsidTr="00211D7C">
        <w:tc>
          <w:tcPr>
            <w:tcW w:w="3681" w:type="dxa"/>
          </w:tcPr>
          <w:p w14:paraId="79899FA8" w14:textId="77777777" w:rsidR="00244325" w:rsidRPr="001B08D6" w:rsidRDefault="00244325" w:rsidP="00211D7C">
            <w:pPr>
              <w:rPr>
                <w:b/>
              </w:rPr>
            </w:pPr>
            <w:r w:rsidRPr="001B08D6">
              <w:rPr>
                <w:b/>
              </w:rPr>
              <w:t xml:space="preserve">Change </w:t>
            </w:r>
          </w:p>
        </w:tc>
        <w:tc>
          <w:tcPr>
            <w:tcW w:w="3260" w:type="dxa"/>
          </w:tcPr>
          <w:p w14:paraId="2FBEFB79" w14:textId="77777777" w:rsidR="00244325" w:rsidRPr="001B08D6" w:rsidRDefault="00244325" w:rsidP="00211D7C">
            <w:pPr>
              <w:rPr>
                <w:b/>
              </w:rPr>
            </w:pPr>
            <w:r w:rsidRPr="001B08D6">
              <w:rPr>
                <w:b/>
              </w:rPr>
              <w:t>Rationale</w:t>
            </w:r>
          </w:p>
        </w:tc>
        <w:tc>
          <w:tcPr>
            <w:tcW w:w="2075" w:type="dxa"/>
          </w:tcPr>
          <w:p w14:paraId="4CC22C25" w14:textId="77777777" w:rsidR="00244325" w:rsidRPr="001B08D6" w:rsidRDefault="00244325" w:rsidP="00211D7C">
            <w:pPr>
              <w:rPr>
                <w:b/>
              </w:rPr>
            </w:pPr>
            <w:r w:rsidRPr="001B08D6">
              <w:rPr>
                <w:b/>
              </w:rPr>
              <w:t>Affected protocol sections</w:t>
            </w:r>
          </w:p>
        </w:tc>
      </w:tr>
      <w:tr w:rsidR="00244325" w14:paraId="7E64182D" w14:textId="77777777" w:rsidTr="00211D7C">
        <w:tc>
          <w:tcPr>
            <w:tcW w:w="3681" w:type="dxa"/>
          </w:tcPr>
          <w:p w14:paraId="1F083514" w14:textId="012AF250" w:rsidR="00244325" w:rsidRDefault="00244325" w:rsidP="00244325">
            <w:pPr>
              <w:spacing w:after="0" w:line="276" w:lineRule="auto"/>
            </w:pPr>
            <w:r>
              <w:t xml:space="preserve">Amended follow-up period for ectopic pregnancy from whole of pregnancy to only up to 20 weeks gestation. </w:t>
            </w:r>
          </w:p>
        </w:tc>
        <w:tc>
          <w:tcPr>
            <w:tcW w:w="3260" w:type="dxa"/>
          </w:tcPr>
          <w:p w14:paraId="18E9153D" w14:textId="13DCC128" w:rsidR="00244325" w:rsidRDefault="00244325" w:rsidP="00244325">
            <w:pPr>
              <w:spacing w:after="0" w:line="276" w:lineRule="auto"/>
            </w:pPr>
            <w:r>
              <w:t>This is a consistent period with the other early pregnancy outcome (miscarriage) and no ectopic pregnancies expected to be identified after 20 weeks gestation.</w:t>
            </w:r>
          </w:p>
        </w:tc>
        <w:tc>
          <w:tcPr>
            <w:tcW w:w="2075" w:type="dxa"/>
          </w:tcPr>
          <w:p w14:paraId="40E077E3" w14:textId="3F27F8DE" w:rsidR="00244325" w:rsidRDefault="00244325" w:rsidP="00211D7C">
            <w:r>
              <w:t>3.5.1</w:t>
            </w:r>
          </w:p>
        </w:tc>
      </w:tr>
    </w:tbl>
    <w:p w14:paraId="2F0E3C63" w14:textId="77777777" w:rsidR="00104EF4" w:rsidRDefault="00104EF4">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104EF4" w14:paraId="4CBD31B4" w14:textId="77777777" w:rsidTr="00211D7C">
        <w:tc>
          <w:tcPr>
            <w:tcW w:w="9016" w:type="dxa"/>
            <w:gridSpan w:val="3"/>
          </w:tcPr>
          <w:p w14:paraId="5115CF44" w14:textId="32A99003" w:rsidR="00104EF4" w:rsidRDefault="00104EF4" w:rsidP="00104EF4">
            <w:r>
              <w:t>Revisions to version 1.5: 27</w:t>
            </w:r>
            <w:r w:rsidRPr="00751282">
              <w:rPr>
                <w:vertAlign w:val="superscript"/>
              </w:rPr>
              <w:t>th</w:t>
            </w:r>
            <w:r>
              <w:t xml:space="preserve"> May 2022</w:t>
            </w:r>
          </w:p>
        </w:tc>
      </w:tr>
      <w:tr w:rsidR="00104EF4" w:rsidRPr="001B08D6" w14:paraId="52318DE0" w14:textId="77777777" w:rsidTr="00211D7C">
        <w:tc>
          <w:tcPr>
            <w:tcW w:w="3681" w:type="dxa"/>
          </w:tcPr>
          <w:p w14:paraId="1128A39B" w14:textId="77777777" w:rsidR="00104EF4" w:rsidRPr="001B08D6" w:rsidRDefault="00104EF4" w:rsidP="00211D7C">
            <w:pPr>
              <w:rPr>
                <w:b/>
              </w:rPr>
            </w:pPr>
            <w:r w:rsidRPr="001B08D6">
              <w:rPr>
                <w:b/>
              </w:rPr>
              <w:t xml:space="preserve">Change </w:t>
            </w:r>
          </w:p>
        </w:tc>
        <w:tc>
          <w:tcPr>
            <w:tcW w:w="3260" w:type="dxa"/>
          </w:tcPr>
          <w:p w14:paraId="5F192349" w14:textId="77777777" w:rsidR="00104EF4" w:rsidRPr="001B08D6" w:rsidRDefault="00104EF4" w:rsidP="00211D7C">
            <w:pPr>
              <w:rPr>
                <w:b/>
              </w:rPr>
            </w:pPr>
            <w:r w:rsidRPr="001B08D6">
              <w:rPr>
                <w:b/>
              </w:rPr>
              <w:t>Rationale</w:t>
            </w:r>
          </w:p>
        </w:tc>
        <w:tc>
          <w:tcPr>
            <w:tcW w:w="2075" w:type="dxa"/>
          </w:tcPr>
          <w:p w14:paraId="626B8747" w14:textId="77777777" w:rsidR="00104EF4" w:rsidRPr="001B08D6" w:rsidRDefault="00104EF4" w:rsidP="00211D7C">
            <w:pPr>
              <w:rPr>
                <w:b/>
              </w:rPr>
            </w:pPr>
            <w:r w:rsidRPr="001B08D6">
              <w:rPr>
                <w:b/>
              </w:rPr>
              <w:t>Affected protocol sections</w:t>
            </w:r>
          </w:p>
        </w:tc>
      </w:tr>
      <w:tr w:rsidR="00104EF4" w14:paraId="0DF8ECCA" w14:textId="77777777" w:rsidTr="00211D7C">
        <w:tc>
          <w:tcPr>
            <w:tcW w:w="3681" w:type="dxa"/>
          </w:tcPr>
          <w:p w14:paraId="521CB778" w14:textId="6ECC328D" w:rsidR="00104EF4" w:rsidRDefault="00104EF4" w:rsidP="00104EF4">
            <w:pPr>
              <w:spacing w:after="0" w:line="276" w:lineRule="auto"/>
            </w:pPr>
            <w:r>
              <w:t xml:space="preserve">Revised the statistical analysis for early pregnancy outcomes to exclude include covariates that rely on data from SMR02 delivery records (i.e. BMI, smoking status and diabetes) from the models. </w:t>
            </w:r>
          </w:p>
        </w:tc>
        <w:tc>
          <w:tcPr>
            <w:tcW w:w="3260" w:type="dxa"/>
          </w:tcPr>
          <w:p w14:paraId="32B7626B" w14:textId="70BEA342" w:rsidR="00104EF4" w:rsidRDefault="00104EF4" w:rsidP="00211D7C">
            <w:pPr>
              <w:spacing w:after="0" w:line="276" w:lineRule="auto"/>
            </w:pPr>
            <w:r>
              <w:t xml:space="preserve">Exploration of these covariates indicated very high levels of missing data for pregnancies that had an early pregnancy outcome. </w:t>
            </w:r>
          </w:p>
        </w:tc>
        <w:tc>
          <w:tcPr>
            <w:tcW w:w="2075" w:type="dxa"/>
          </w:tcPr>
          <w:p w14:paraId="404764F5" w14:textId="00B71F5C" w:rsidR="00104EF4" w:rsidRDefault="00104EF4" w:rsidP="00211D7C">
            <w:r>
              <w:t>4.2</w:t>
            </w:r>
          </w:p>
        </w:tc>
      </w:tr>
    </w:tbl>
    <w:p w14:paraId="1854A33A" w14:textId="77777777" w:rsidR="00211D7C" w:rsidRDefault="00211D7C">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11D7C" w14:paraId="1CD14ED1" w14:textId="77777777" w:rsidTr="00211D7C">
        <w:tc>
          <w:tcPr>
            <w:tcW w:w="9016" w:type="dxa"/>
            <w:gridSpan w:val="3"/>
          </w:tcPr>
          <w:p w14:paraId="0BCB99A0" w14:textId="3348B136" w:rsidR="00211D7C" w:rsidRDefault="00211D7C" w:rsidP="00211D7C">
            <w:r>
              <w:t>Revisions to version 1.6: 15</w:t>
            </w:r>
            <w:r w:rsidRPr="00751282">
              <w:rPr>
                <w:vertAlign w:val="superscript"/>
              </w:rPr>
              <w:t>th</w:t>
            </w:r>
            <w:r>
              <w:t xml:space="preserve"> June 2022</w:t>
            </w:r>
          </w:p>
        </w:tc>
      </w:tr>
      <w:tr w:rsidR="00211D7C" w:rsidRPr="001B08D6" w14:paraId="21A0C593" w14:textId="77777777" w:rsidTr="00211D7C">
        <w:tc>
          <w:tcPr>
            <w:tcW w:w="3681" w:type="dxa"/>
          </w:tcPr>
          <w:p w14:paraId="24C96A8A" w14:textId="77777777" w:rsidR="00211D7C" w:rsidRPr="001B08D6" w:rsidRDefault="00211D7C" w:rsidP="00211D7C">
            <w:pPr>
              <w:rPr>
                <w:b/>
              </w:rPr>
            </w:pPr>
            <w:r w:rsidRPr="001B08D6">
              <w:rPr>
                <w:b/>
              </w:rPr>
              <w:t xml:space="preserve">Change </w:t>
            </w:r>
          </w:p>
        </w:tc>
        <w:tc>
          <w:tcPr>
            <w:tcW w:w="3260" w:type="dxa"/>
          </w:tcPr>
          <w:p w14:paraId="5E08F5F7" w14:textId="77777777" w:rsidR="00211D7C" w:rsidRPr="001B08D6" w:rsidRDefault="00211D7C" w:rsidP="00211D7C">
            <w:pPr>
              <w:rPr>
                <w:b/>
              </w:rPr>
            </w:pPr>
            <w:r w:rsidRPr="001B08D6">
              <w:rPr>
                <w:b/>
              </w:rPr>
              <w:t>Rationale</w:t>
            </w:r>
          </w:p>
        </w:tc>
        <w:tc>
          <w:tcPr>
            <w:tcW w:w="2075" w:type="dxa"/>
          </w:tcPr>
          <w:p w14:paraId="18D0E9A9" w14:textId="77777777" w:rsidR="00211D7C" w:rsidRPr="001B08D6" w:rsidRDefault="00211D7C" w:rsidP="00211D7C">
            <w:pPr>
              <w:rPr>
                <w:b/>
              </w:rPr>
            </w:pPr>
            <w:r w:rsidRPr="001B08D6">
              <w:rPr>
                <w:b/>
              </w:rPr>
              <w:t>Affected protocol sections</w:t>
            </w:r>
          </w:p>
        </w:tc>
      </w:tr>
      <w:tr w:rsidR="00211D7C" w14:paraId="6E87E852" w14:textId="77777777" w:rsidTr="00211D7C">
        <w:tc>
          <w:tcPr>
            <w:tcW w:w="3681" w:type="dxa"/>
          </w:tcPr>
          <w:p w14:paraId="2FC84F53" w14:textId="4D091EC7" w:rsidR="00211D7C" w:rsidRDefault="00211D7C" w:rsidP="00211D7C">
            <w:pPr>
              <w:spacing w:after="0" w:line="276" w:lineRule="auto"/>
            </w:pPr>
            <w:r>
              <w:t xml:space="preserve">Remove secondary outcome for miscarriage </w:t>
            </w:r>
          </w:p>
        </w:tc>
        <w:tc>
          <w:tcPr>
            <w:tcW w:w="3260" w:type="dxa"/>
          </w:tcPr>
          <w:p w14:paraId="32980276" w14:textId="1981B3FC" w:rsidR="00211D7C" w:rsidRDefault="002069CD" w:rsidP="00322D66">
            <w:pPr>
              <w:spacing w:after="0" w:line="276" w:lineRule="auto"/>
            </w:pPr>
            <w:r>
              <w:t>I</w:t>
            </w:r>
            <w:r w:rsidR="00322D66">
              <w:t xml:space="preserve">n light of revisions made to version 1.2 of the protocol (changing </w:t>
            </w:r>
            <w:r>
              <w:t xml:space="preserve">definition of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xml:space="preserve"> to</w:t>
            </w:r>
            <w:r>
              <w:t xml:space="preserve"> from </w:t>
            </w:r>
            <w:r>
              <w:lastRenderedPageBreak/>
              <w:t xml:space="preserve">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sidR="00322D66">
              <w:rPr>
                <w:rFonts w:eastAsia="Times New Roman" w:cstheme="minorHAnsi"/>
                <w:color w:val="000000"/>
                <w:lang w:eastAsia="en-GB"/>
              </w:rPr>
              <w:t xml:space="preserve">), we do not need to then conduct secondary analyses by trimester for miscarriage.  </w:t>
            </w:r>
          </w:p>
        </w:tc>
        <w:tc>
          <w:tcPr>
            <w:tcW w:w="2075" w:type="dxa"/>
          </w:tcPr>
          <w:p w14:paraId="0CA34482" w14:textId="77777777" w:rsidR="00211D7C" w:rsidRDefault="00211D7C" w:rsidP="00211D7C">
            <w:r>
              <w:lastRenderedPageBreak/>
              <w:t>4.2</w:t>
            </w:r>
          </w:p>
        </w:tc>
      </w:tr>
      <w:tr w:rsidR="00211D7C" w14:paraId="582509C1" w14:textId="77777777" w:rsidTr="00211D7C">
        <w:tc>
          <w:tcPr>
            <w:tcW w:w="3681" w:type="dxa"/>
          </w:tcPr>
          <w:p w14:paraId="6BDC663B" w14:textId="0387B434" w:rsidR="00211D7C" w:rsidRDefault="00786C8E" w:rsidP="00211D7C">
            <w:pPr>
              <w:spacing w:after="0" w:line="276" w:lineRule="auto"/>
            </w:pPr>
            <w:r>
              <w:t>Clarify that sensitivity analysis will only be conducted where appropriate for a given outcome</w:t>
            </w:r>
          </w:p>
        </w:tc>
        <w:tc>
          <w:tcPr>
            <w:tcW w:w="3260" w:type="dxa"/>
          </w:tcPr>
          <w:p w14:paraId="014AE231" w14:textId="53DB3441" w:rsidR="00211D7C" w:rsidRDefault="00CC3BE0" w:rsidP="00322D66">
            <w:pPr>
              <w:spacing w:after="0" w:line="276" w:lineRule="auto"/>
            </w:pPr>
            <w:r>
              <w:t>For the early pregnancy outcomes, the sensitivity analyses are not possible to conduct due to the much shorte</w:t>
            </w:r>
            <w:r w:rsidR="00322D66">
              <w:t xml:space="preserve">r exposure periods and uncertainty surrounding exact dates of outcomes. We have clarified in the protocol that these </w:t>
            </w:r>
            <w:r w:rsidR="007838C4">
              <w:t xml:space="preserve">sensitivity analyses </w:t>
            </w:r>
            <w:r w:rsidR="00322D66">
              <w:t>will only be conducted where appropriate.</w:t>
            </w:r>
            <w:r>
              <w:t xml:space="preserve"> </w:t>
            </w:r>
          </w:p>
        </w:tc>
        <w:tc>
          <w:tcPr>
            <w:tcW w:w="2075" w:type="dxa"/>
          </w:tcPr>
          <w:p w14:paraId="30D435E9" w14:textId="4C6A1FF7" w:rsidR="00211D7C" w:rsidRDefault="007838C4" w:rsidP="00211D7C">
            <w:r>
              <w:t>3.6</w:t>
            </w:r>
          </w:p>
        </w:tc>
      </w:tr>
      <w:tr w:rsidR="00211D7C" w14:paraId="58302D58" w14:textId="77777777" w:rsidTr="00211D7C">
        <w:tc>
          <w:tcPr>
            <w:tcW w:w="3681" w:type="dxa"/>
          </w:tcPr>
          <w:p w14:paraId="6714902D" w14:textId="69DFCF51" w:rsidR="00211D7C" w:rsidRDefault="00786C8E" w:rsidP="00211D7C">
            <w:pPr>
              <w:spacing w:after="0" w:line="276" w:lineRule="auto"/>
            </w:pPr>
            <w:r>
              <w:t xml:space="preserve">Remove supplementary analysis two </w:t>
            </w:r>
          </w:p>
        </w:tc>
        <w:tc>
          <w:tcPr>
            <w:tcW w:w="3260" w:type="dxa"/>
          </w:tcPr>
          <w:p w14:paraId="1AEC0E07" w14:textId="03402ECB" w:rsidR="00211D7C" w:rsidRDefault="00322D66" w:rsidP="007838C4">
            <w:pPr>
              <w:spacing w:after="0" w:line="276" w:lineRule="auto"/>
            </w:pPr>
            <w:r>
              <w:t xml:space="preserve">As the primary aim of this study is to look at vaccine safety, we have removed the second supplementary analysis </w:t>
            </w:r>
            <w:r w:rsidR="007838C4">
              <w:t>that</w:t>
            </w:r>
            <w:r>
              <w:t xml:space="preserve"> retains women with SARS-CoV-2 infection in the exposure period, as these results are difficult to interpret, and start to look at vaccine effectiveness which will be covered </w:t>
            </w:r>
            <w:r w:rsidR="007838C4">
              <w:t>by other analyses within COPS</w:t>
            </w:r>
            <w:r>
              <w:t>. Our analyses therefore remove women who have SARS-CoV-2 infection in the exposure period.</w:t>
            </w:r>
          </w:p>
        </w:tc>
        <w:tc>
          <w:tcPr>
            <w:tcW w:w="2075" w:type="dxa"/>
          </w:tcPr>
          <w:p w14:paraId="6CE2E9CC" w14:textId="0E3475A3" w:rsidR="00211D7C" w:rsidRDefault="007838C4" w:rsidP="007838C4">
            <w:r>
              <w:t>3.6 and Appendix 3</w:t>
            </w:r>
          </w:p>
        </w:tc>
      </w:tr>
      <w:tr w:rsidR="00CC3BE0" w14:paraId="50397FFC" w14:textId="77777777" w:rsidTr="00211D7C">
        <w:tc>
          <w:tcPr>
            <w:tcW w:w="3681" w:type="dxa"/>
          </w:tcPr>
          <w:p w14:paraId="7BE2FDB5" w14:textId="01E8A0EE" w:rsidR="00CC3BE0" w:rsidRDefault="007838C4" w:rsidP="00211D7C">
            <w:pPr>
              <w:spacing w:after="0" w:line="276" w:lineRule="auto"/>
            </w:pPr>
            <w:r>
              <w:t>Revise</w:t>
            </w:r>
            <w:r w:rsidR="00CC3BE0">
              <w:t xml:space="preserve"> exposure period for congenital anomalies from 9+6 weeks gestation to 19+6 weeks gestation</w:t>
            </w:r>
          </w:p>
        </w:tc>
        <w:tc>
          <w:tcPr>
            <w:tcW w:w="3260" w:type="dxa"/>
          </w:tcPr>
          <w:p w14:paraId="4E2C0D27" w14:textId="1FB1CA3F" w:rsidR="00CC3BE0" w:rsidRDefault="00322D66" w:rsidP="007838C4">
            <w:pPr>
              <w:spacing w:after="0" w:line="276" w:lineRule="auto"/>
            </w:pPr>
            <w:r>
              <w:t>W</w:t>
            </w:r>
            <w:r w:rsidR="007838C4">
              <w:t>e have amended our</w:t>
            </w:r>
            <w:r>
              <w:t xml:space="preserve"> exposure period for </w:t>
            </w:r>
            <w:r w:rsidR="007838C4">
              <w:t xml:space="preserve">congenital anomalies to align with recommendations from GAIA, but have noted that we will conduct a sensitivity analysis using the narrower exposure period that was originally proposed (9+6 weeks gestation) if we see any signal for association in our primary analysis. </w:t>
            </w:r>
          </w:p>
        </w:tc>
        <w:tc>
          <w:tcPr>
            <w:tcW w:w="2075" w:type="dxa"/>
          </w:tcPr>
          <w:p w14:paraId="0B016983" w14:textId="006C3CD4" w:rsidR="00CC3BE0" w:rsidRDefault="007838C4" w:rsidP="00211D7C">
            <w:r>
              <w:t>4.2 and 3.6</w:t>
            </w:r>
          </w:p>
        </w:tc>
      </w:tr>
    </w:tbl>
    <w:p w14:paraId="336DCF0F" w14:textId="77777777" w:rsidR="00A97E86" w:rsidRDefault="00A97E86">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A97E86" w14:paraId="63B24F75" w14:textId="77777777" w:rsidTr="001E518D">
        <w:tc>
          <w:tcPr>
            <w:tcW w:w="9016" w:type="dxa"/>
            <w:gridSpan w:val="3"/>
          </w:tcPr>
          <w:p w14:paraId="423AC55D" w14:textId="56555DF7" w:rsidR="00A97E86" w:rsidRDefault="00A97E86" w:rsidP="00A97E86">
            <w:r>
              <w:t>Revisions to version 1.7: 22</w:t>
            </w:r>
            <w:r w:rsidRPr="00A97E86">
              <w:rPr>
                <w:vertAlign w:val="superscript"/>
              </w:rPr>
              <w:t>nd</w:t>
            </w:r>
            <w:r>
              <w:t xml:space="preserve"> June 2022</w:t>
            </w:r>
          </w:p>
        </w:tc>
      </w:tr>
      <w:tr w:rsidR="00A97E86" w:rsidRPr="001B08D6" w14:paraId="0FC95159" w14:textId="77777777" w:rsidTr="001E518D">
        <w:tc>
          <w:tcPr>
            <w:tcW w:w="3681" w:type="dxa"/>
          </w:tcPr>
          <w:p w14:paraId="4A9F3111" w14:textId="77777777" w:rsidR="00A97E86" w:rsidRPr="001B08D6" w:rsidRDefault="00A97E86" w:rsidP="001E518D">
            <w:pPr>
              <w:rPr>
                <w:b/>
              </w:rPr>
            </w:pPr>
            <w:r w:rsidRPr="001B08D6">
              <w:rPr>
                <w:b/>
              </w:rPr>
              <w:t xml:space="preserve">Change </w:t>
            </w:r>
          </w:p>
        </w:tc>
        <w:tc>
          <w:tcPr>
            <w:tcW w:w="3260" w:type="dxa"/>
          </w:tcPr>
          <w:p w14:paraId="582A32CA" w14:textId="77777777" w:rsidR="00A97E86" w:rsidRPr="001B08D6" w:rsidRDefault="00A97E86" w:rsidP="001E518D">
            <w:pPr>
              <w:rPr>
                <w:b/>
              </w:rPr>
            </w:pPr>
            <w:r w:rsidRPr="001B08D6">
              <w:rPr>
                <w:b/>
              </w:rPr>
              <w:t>Rationale</w:t>
            </w:r>
          </w:p>
        </w:tc>
        <w:tc>
          <w:tcPr>
            <w:tcW w:w="2075" w:type="dxa"/>
          </w:tcPr>
          <w:p w14:paraId="65EB5283" w14:textId="77777777" w:rsidR="00A97E86" w:rsidRPr="001B08D6" w:rsidRDefault="00A97E86" w:rsidP="001E518D">
            <w:pPr>
              <w:rPr>
                <w:b/>
              </w:rPr>
            </w:pPr>
            <w:r w:rsidRPr="001B08D6">
              <w:rPr>
                <w:b/>
              </w:rPr>
              <w:t>Affected protocol sections</w:t>
            </w:r>
          </w:p>
        </w:tc>
      </w:tr>
      <w:tr w:rsidR="00A97E86" w14:paraId="513B032C" w14:textId="77777777" w:rsidTr="001E518D">
        <w:tc>
          <w:tcPr>
            <w:tcW w:w="3681" w:type="dxa"/>
          </w:tcPr>
          <w:p w14:paraId="39426A12" w14:textId="17E110F9" w:rsidR="00A97E86" w:rsidRDefault="00A97E86" w:rsidP="001E518D">
            <w:pPr>
              <w:spacing w:after="0" w:line="276" w:lineRule="auto"/>
            </w:pPr>
            <w:r>
              <w:lastRenderedPageBreak/>
              <w:t xml:space="preserve">Clarified that we will only conduct subgroup analysis by class of vaccine where there are not sufficient numbers to do this by type of vaccine. </w:t>
            </w:r>
          </w:p>
        </w:tc>
        <w:tc>
          <w:tcPr>
            <w:tcW w:w="3260" w:type="dxa"/>
          </w:tcPr>
          <w:p w14:paraId="43EC0ADB" w14:textId="5655EBDB" w:rsidR="00A97E86" w:rsidRDefault="00A97E86" w:rsidP="001E518D">
            <w:pPr>
              <w:spacing w:after="0" w:line="276" w:lineRule="auto"/>
            </w:pPr>
          </w:p>
        </w:tc>
        <w:tc>
          <w:tcPr>
            <w:tcW w:w="2075" w:type="dxa"/>
          </w:tcPr>
          <w:p w14:paraId="516956FD" w14:textId="3EE9D0D5" w:rsidR="00A97E86" w:rsidRDefault="00A97E86" w:rsidP="001E518D">
            <w:r>
              <w:t>3.5.2 and 4.2</w:t>
            </w:r>
          </w:p>
        </w:tc>
      </w:tr>
      <w:tr w:rsidR="00A97E86" w14:paraId="4524F889" w14:textId="77777777" w:rsidTr="001E518D">
        <w:tc>
          <w:tcPr>
            <w:tcW w:w="3681" w:type="dxa"/>
          </w:tcPr>
          <w:p w14:paraId="5FF591F7" w14:textId="28433D77" w:rsidR="00A97E86" w:rsidRDefault="00A97E86" w:rsidP="00A97E86">
            <w:pPr>
              <w:spacing w:after="0" w:line="276" w:lineRule="auto"/>
            </w:pPr>
            <w:r>
              <w:t xml:space="preserve">Added that we will conduct subgroup analyses by vaccine type using contemporary controls if we see an association between specific vaccine types and adverse outcomes using historical controls. </w:t>
            </w:r>
          </w:p>
        </w:tc>
        <w:tc>
          <w:tcPr>
            <w:tcW w:w="3260" w:type="dxa"/>
          </w:tcPr>
          <w:p w14:paraId="6AED888B" w14:textId="7CF48602" w:rsidR="00A97E86" w:rsidRDefault="00A97E86" w:rsidP="00A97E86">
            <w:pPr>
              <w:spacing w:after="0" w:line="276" w:lineRule="auto"/>
            </w:pPr>
            <w:r>
              <w:t xml:space="preserve">We have concerns over residual confounding by clinical vulnerability in the association between specific vaccinations and adverse outcomes that is particularly problematic when using historical controls. </w:t>
            </w:r>
          </w:p>
        </w:tc>
        <w:tc>
          <w:tcPr>
            <w:tcW w:w="2075" w:type="dxa"/>
          </w:tcPr>
          <w:p w14:paraId="359C3834" w14:textId="108246A0" w:rsidR="00A97E86" w:rsidRDefault="00A97E86" w:rsidP="001E518D">
            <w:r>
              <w:t>4.2</w:t>
            </w:r>
          </w:p>
        </w:tc>
      </w:tr>
    </w:tbl>
    <w:p w14:paraId="3301AC48" w14:textId="77777777" w:rsidR="004210A0" w:rsidRDefault="004210A0">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4210A0" w14:paraId="7A2829E9" w14:textId="77777777" w:rsidTr="00EF2149">
        <w:tc>
          <w:tcPr>
            <w:tcW w:w="9016" w:type="dxa"/>
            <w:gridSpan w:val="3"/>
          </w:tcPr>
          <w:p w14:paraId="249819F2" w14:textId="26E87EE4" w:rsidR="004210A0" w:rsidRDefault="004210A0" w:rsidP="00DD385B">
            <w:r>
              <w:t xml:space="preserve">Revisions to version 1.8: </w:t>
            </w:r>
            <w:r>
              <w:t>2</w:t>
            </w:r>
            <w:r w:rsidR="00C92960">
              <w:t>4</w:t>
            </w:r>
            <w:r w:rsidR="00C92960" w:rsidRPr="00C92960">
              <w:rPr>
                <w:vertAlign w:val="superscript"/>
              </w:rPr>
              <w:t>th</w:t>
            </w:r>
            <w:r>
              <w:t xml:space="preserve"> </w:t>
            </w:r>
            <w:r w:rsidR="00DD385B">
              <w:t>August</w:t>
            </w:r>
            <w:bookmarkStart w:id="1" w:name="_GoBack"/>
            <w:bookmarkEnd w:id="1"/>
            <w:r>
              <w:t xml:space="preserve"> 2022</w:t>
            </w:r>
          </w:p>
        </w:tc>
      </w:tr>
      <w:tr w:rsidR="004210A0" w:rsidRPr="001B08D6" w14:paraId="4A10FF98" w14:textId="77777777" w:rsidTr="00EF2149">
        <w:tc>
          <w:tcPr>
            <w:tcW w:w="3681" w:type="dxa"/>
          </w:tcPr>
          <w:p w14:paraId="71DCB70B" w14:textId="77777777" w:rsidR="004210A0" w:rsidRPr="001B08D6" w:rsidRDefault="004210A0" w:rsidP="00EF2149">
            <w:pPr>
              <w:rPr>
                <w:b/>
              </w:rPr>
            </w:pPr>
            <w:r w:rsidRPr="001B08D6">
              <w:rPr>
                <w:b/>
              </w:rPr>
              <w:t xml:space="preserve">Change </w:t>
            </w:r>
          </w:p>
        </w:tc>
        <w:tc>
          <w:tcPr>
            <w:tcW w:w="3260" w:type="dxa"/>
          </w:tcPr>
          <w:p w14:paraId="3B671450" w14:textId="77777777" w:rsidR="004210A0" w:rsidRPr="001B08D6" w:rsidRDefault="004210A0" w:rsidP="00EF2149">
            <w:pPr>
              <w:rPr>
                <w:b/>
              </w:rPr>
            </w:pPr>
            <w:r w:rsidRPr="001B08D6">
              <w:rPr>
                <w:b/>
              </w:rPr>
              <w:t>Rationale</w:t>
            </w:r>
          </w:p>
        </w:tc>
        <w:tc>
          <w:tcPr>
            <w:tcW w:w="2075" w:type="dxa"/>
          </w:tcPr>
          <w:p w14:paraId="7C830984" w14:textId="77777777" w:rsidR="004210A0" w:rsidRPr="001B08D6" w:rsidRDefault="004210A0" w:rsidP="00EF2149">
            <w:pPr>
              <w:rPr>
                <w:b/>
              </w:rPr>
            </w:pPr>
            <w:r w:rsidRPr="001B08D6">
              <w:rPr>
                <w:b/>
              </w:rPr>
              <w:t>Affected protocol sections</w:t>
            </w:r>
          </w:p>
        </w:tc>
      </w:tr>
      <w:tr w:rsidR="004210A0" w14:paraId="446B7EF9" w14:textId="77777777" w:rsidTr="00EF2149">
        <w:tc>
          <w:tcPr>
            <w:tcW w:w="3681" w:type="dxa"/>
          </w:tcPr>
          <w:p w14:paraId="092A40C4" w14:textId="176936C6" w:rsidR="004210A0" w:rsidRDefault="004210A0" w:rsidP="00EF2149">
            <w:pPr>
              <w:spacing w:after="0" w:line="276" w:lineRule="auto"/>
            </w:pPr>
            <w:r>
              <w:t xml:space="preserve">Specified that we will only use contemporary controls (and not historical controls) if there are known changes in the ascertainment of outcomes over the study period.  </w:t>
            </w:r>
          </w:p>
        </w:tc>
        <w:tc>
          <w:tcPr>
            <w:tcW w:w="3260" w:type="dxa"/>
          </w:tcPr>
          <w:p w14:paraId="35034AD0" w14:textId="27694B96" w:rsidR="004210A0" w:rsidRDefault="004210A0" w:rsidP="00C92960">
            <w:pPr>
              <w:spacing w:after="0" w:line="276" w:lineRule="auto"/>
            </w:pPr>
            <w:r>
              <w:t xml:space="preserve">It would be impossible to attribute any differences in affected outcomes between vaccinated and unvaccinated historical controls to vaccination as opposed to changes in ascertainment of the outcome over time. </w:t>
            </w:r>
          </w:p>
        </w:tc>
        <w:tc>
          <w:tcPr>
            <w:tcW w:w="2075" w:type="dxa"/>
          </w:tcPr>
          <w:p w14:paraId="5A59DC76" w14:textId="3C43EB66" w:rsidR="004210A0" w:rsidRDefault="004210A0" w:rsidP="00EF2149">
            <w:r>
              <w:t>3.1 and 3.6 and Appendix 3</w:t>
            </w:r>
          </w:p>
        </w:tc>
      </w:tr>
      <w:tr w:rsidR="004210A0" w14:paraId="2D3C6AC4" w14:textId="77777777" w:rsidTr="00EF2149">
        <w:tc>
          <w:tcPr>
            <w:tcW w:w="3681" w:type="dxa"/>
          </w:tcPr>
          <w:p w14:paraId="6AF2E3B5" w14:textId="309E6CE5" w:rsidR="004210A0" w:rsidRDefault="004210A0" w:rsidP="00EF2149">
            <w:pPr>
              <w:spacing w:after="0" w:line="276" w:lineRule="auto"/>
            </w:pPr>
            <w:r>
              <w:t>Clarified that we will only look at Apgar score in terms babies</w:t>
            </w:r>
            <w:r w:rsidR="00EF2149">
              <w:t xml:space="preserve"> (i.e. babies </w:t>
            </w:r>
            <w:r w:rsidR="00EF2149">
              <w:rPr>
                <w:rFonts w:cstheme="minorHAnsi"/>
              </w:rPr>
              <w:t>≥37 weeks gestation)</w:t>
            </w:r>
            <w:r>
              <w:t xml:space="preserve">, and </w:t>
            </w:r>
            <w:r w:rsidR="00EF2149">
              <w:t>will restrict outcomes relying on reference standards to only babies which can be matched to the reference standard.</w:t>
            </w:r>
          </w:p>
        </w:tc>
        <w:tc>
          <w:tcPr>
            <w:tcW w:w="3260" w:type="dxa"/>
          </w:tcPr>
          <w:p w14:paraId="45F1DB62" w14:textId="47D021D4" w:rsidR="00156D3F" w:rsidRDefault="00156D3F" w:rsidP="00EF2149">
            <w:pPr>
              <w:spacing w:after="0" w:line="276" w:lineRule="auto"/>
            </w:pPr>
            <w:r>
              <w:t>For Apgar score, restricti</w:t>
            </w:r>
            <w:r w:rsidR="00C92960">
              <w:t>ng to only term babies allows us</w:t>
            </w:r>
            <w:r>
              <w:t xml:space="preserve"> to look at whether there is any evidence of neonatal compromise not mediated through preterm birth (which is strongly linked to low Apgar score). </w:t>
            </w:r>
          </w:p>
          <w:p w14:paraId="03167B03" w14:textId="7CB4BF9F" w:rsidR="004210A0" w:rsidRDefault="00156D3F" w:rsidP="00EF2149">
            <w:pPr>
              <w:spacing w:after="0" w:line="276" w:lineRule="auto"/>
            </w:pPr>
            <w:r>
              <w:t>For small for gestational age</w:t>
            </w:r>
            <w:r w:rsidR="00EF2149">
              <w:t xml:space="preserve"> and for microcephaly</w:t>
            </w:r>
            <w:r>
              <w:t>, data are only available for the subset of babies at the specified gestations</w:t>
            </w:r>
            <w:r w:rsidR="00EF2149">
              <w:t xml:space="preserve"> where there are reference data available</w:t>
            </w:r>
            <w:r>
              <w:t xml:space="preserve">.   </w:t>
            </w:r>
          </w:p>
        </w:tc>
        <w:tc>
          <w:tcPr>
            <w:tcW w:w="2075" w:type="dxa"/>
          </w:tcPr>
          <w:p w14:paraId="1079D711" w14:textId="59006DC8" w:rsidR="004210A0" w:rsidRDefault="00156D3F" w:rsidP="00EF2149">
            <w:r>
              <w:t>3.5.1</w:t>
            </w:r>
          </w:p>
        </w:tc>
      </w:tr>
      <w:tr w:rsidR="00156D3F" w14:paraId="68657CA0" w14:textId="77777777" w:rsidTr="00EF2149">
        <w:tc>
          <w:tcPr>
            <w:tcW w:w="3681" w:type="dxa"/>
          </w:tcPr>
          <w:p w14:paraId="123489B7" w14:textId="29C3E343" w:rsidR="00156D3F" w:rsidRDefault="00E21CE8" w:rsidP="00E21CE8">
            <w:pPr>
              <w:spacing w:after="0" w:line="276" w:lineRule="auto"/>
            </w:pPr>
            <w:r>
              <w:t xml:space="preserve">Restrict modelling of all baby </w:t>
            </w:r>
            <w:r w:rsidR="00EF2149">
              <w:t xml:space="preserve">and maternal </w:t>
            </w:r>
            <w:r>
              <w:t>outcomes (except congenital anomalies and microcephaly) to only singleton births</w:t>
            </w:r>
            <w:r w:rsidR="00EF2149">
              <w:t>/pregnancies</w:t>
            </w:r>
            <w:r>
              <w:t xml:space="preserve"> (although descriptive information will be produced for both multiple and singleton births).</w:t>
            </w:r>
          </w:p>
        </w:tc>
        <w:tc>
          <w:tcPr>
            <w:tcW w:w="3260" w:type="dxa"/>
          </w:tcPr>
          <w:p w14:paraId="0493FEBC" w14:textId="5F9AF5B6" w:rsidR="00156D3F" w:rsidRDefault="00E21CE8" w:rsidP="00EF2149">
            <w:pPr>
              <w:spacing w:after="0" w:line="276" w:lineRule="auto"/>
            </w:pPr>
            <w:r>
              <w:t xml:space="preserve">This will simplify the modelling process (no need to account for clustering of multiple births, alongside the clustering by the matched design) and there is no biologically plausible reason to expect that the association </w:t>
            </w:r>
            <w:r>
              <w:lastRenderedPageBreak/>
              <w:t xml:space="preserve">between vaccination and </w:t>
            </w:r>
            <w:r w:rsidR="00EF2149">
              <w:t>these</w:t>
            </w:r>
            <w:r>
              <w:t xml:space="preserve"> outcomes would be different for singleton and multiple babies</w:t>
            </w:r>
            <w:r w:rsidR="00EF2149">
              <w:t>/pregnancies</w:t>
            </w:r>
            <w:r>
              <w:t>.</w:t>
            </w:r>
          </w:p>
        </w:tc>
        <w:tc>
          <w:tcPr>
            <w:tcW w:w="2075" w:type="dxa"/>
          </w:tcPr>
          <w:p w14:paraId="3CA03030" w14:textId="1FC019AA" w:rsidR="00156D3F" w:rsidRDefault="009D3D64" w:rsidP="00EF2149">
            <w:r>
              <w:lastRenderedPageBreak/>
              <w:t>4.2</w:t>
            </w:r>
          </w:p>
        </w:tc>
      </w:tr>
      <w:tr w:rsidR="009D3D64" w14:paraId="466549E9" w14:textId="77777777" w:rsidTr="00EF2149">
        <w:tc>
          <w:tcPr>
            <w:tcW w:w="3681" w:type="dxa"/>
          </w:tcPr>
          <w:p w14:paraId="4A84ED78" w14:textId="03768E78" w:rsidR="009D3D64" w:rsidRDefault="009D3D64" w:rsidP="009D3D64">
            <w:pPr>
              <w:spacing w:after="0" w:line="276" w:lineRule="auto"/>
            </w:pPr>
            <w:r>
              <w:t>Added in singleton/multiple birth as a covariate for congenital anomaly analyses.</w:t>
            </w:r>
          </w:p>
        </w:tc>
        <w:tc>
          <w:tcPr>
            <w:tcW w:w="3260" w:type="dxa"/>
          </w:tcPr>
          <w:p w14:paraId="68970103" w14:textId="6486EC55" w:rsidR="009D3D64" w:rsidRDefault="006E3D37" w:rsidP="006E3D37">
            <w:pPr>
              <w:spacing w:after="0" w:line="276" w:lineRule="auto"/>
            </w:pPr>
            <w:r>
              <w:t xml:space="preserve">This may be a confounder, with women with multiple pregnancies potentially more likely to be vaccinated. </w:t>
            </w:r>
          </w:p>
        </w:tc>
        <w:tc>
          <w:tcPr>
            <w:tcW w:w="2075" w:type="dxa"/>
          </w:tcPr>
          <w:p w14:paraId="040EC9ED" w14:textId="7AA09614" w:rsidR="009D3D64" w:rsidRDefault="009D3D64" w:rsidP="009D3D64">
            <w:r>
              <w:t>3.5.3 and 4.2</w:t>
            </w:r>
          </w:p>
        </w:tc>
      </w:tr>
    </w:tbl>
    <w:p w14:paraId="08B47C8D" w14:textId="418C00A6" w:rsidR="00F15D9D" w:rsidRDefault="00F15D9D">
      <w:pPr>
        <w:spacing w:after="200" w:line="276" w:lineRule="auto"/>
      </w:pPr>
      <w:r>
        <w:br w:type="page"/>
      </w:r>
    </w:p>
    <w:p w14:paraId="2C139C09" w14:textId="628A0D83" w:rsidR="00104EF4" w:rsidRDefault="00104EF4">
      <w:pPr>
        <w:spacing w:after="200" w:line="276" w:lineRule="auto"/>
      </w:pPr>
    </w:p>
    <w:p w14:paraId="0C52C83E" w14:textId="74F0F478" w:rsidR="006F7323" w:rsidRDefault="006F7323" w:rsidP="006F7323">
      <w:pPr>
        <w:pStyle w:val="Heading1"/>
        <w:rPr>
          <w:sz w:val="22"/>
        </w:rPr>
      </w:pPr>
      <w:r w:rsidRPr="00466743">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lastRenderedPageBreak/>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EF2149"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ConcePTION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22C9D3F4" w:rsidR="007E491C" w:rsidRDefault="007E491C" w:rsidP="007E491C">
            <w:pPr>
              <w:spacing w:after="0" w:line="240" w:lineRule="auto"/>
            </w:pPr>
            <w:r>
              <w:t xml:space="preserve">There will be </w:t>
            </w:r>
            <w:r w:rsidR="00CC3BE0">
              <w:t>two</w:t>
            </w:r>
            <w:r>
              <w:t xml:space="preserv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4CED7BEE" w14:textId="6F87513B" w:rsidR="000A3ED7" w:rsidRPr="002862C8" w:rsidRDefault="002862C8" w:rsidP="000C37C2">
            <w:pPr>
              <w:spacing w:after="0" w:line="240" w:lineRule="auto"/>
            </w:pPr>
            <w:r w:rsidRPr="002862C8">
              <w:t>Note that, as with the vaccination analyses, we will not use historical controls if there are known changes in the ascertainment of an outcome over the study period (i.e. 2015-2022).</w:t>
            </w:r>
          </w:p>
          <w:p w14:paraId="6D390944" w14:textId="4875092A" w:rsidR="002862C8" w:rsidRPr="007E491C" w:rsidRDefault="002862C8" w:rsidP="000C37C2">
            <w:pPr>
              <w:spacing w:after="0" w:line="240" w:lineRule="auto"/>
              <w:rPr>
                <w:b/>
              </w:rPr>
            </w:pP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33C3" w16cex:dateUtc="2022-03-15T15:48:00Z"/>
  <w16cex:commentExtensible w16cex:durableId="25DB34F3" w16cex:dateUtc="2022-03-15T15:53:00Z"/>
  <w16cex:commentExtensible w16cex:durableId="25DB3669" w16cex:dateUtc="2022-03-15T15:59:00Z"/>
  <w16cex:commentExtensible w16cex:durableId="25DB47FC" w16cex:dateUtc="2022-03-15T17:14:00Z"/>
  <w16cex:commentExtensible w16cex:durableId="25DB4816" w16cex:dateUtc="2022-03-15T17:15:00Z"/>
  <w16cex:commentExtensible w16cex:durableId="25DB4975" w16cex:dateUtc="2022-03-15T17:20:00Z"/>
  <w16cex:commentExtensible w16cex:durableId="25DB4A21" w16cex:dateUtc="2022-03-15T17:23:00Z"/>
  <w16cex:commentExtensible w16cex:durableId="25DB4B2E" w16cex:dateUtc="2022-03-15T17:28:00Z"/>
  <w16cex:commentExtensible w16cex:durableId="25DB4BBD" w16cex:dateUtc="2022-03-1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F002E" w16cid:durableId="25DB33C3"/>
  <w16cid:commentId w16cid:paraId="1682ECD6" w16cid:durableId="25DB34F3"/>
  <w16cid:commentId w16cid:paraId="00F18189" w16cid:durableId="25DB3669"/>
  <w16cid:commentId w16cid:paraId="16F6FF24" w16cid:durableId="25DB47FC"/>
  <w16cid:commentId w16cid:paraId="12D2F378" w16cid:durableId="25DB4816"/>
  <w16cid:commentId w16cid:paraId="0B9DFE09" w16cid:durableId="25DB4975"/>
  <w16cid:commentId w16cid:paraId="518E7081" w16cid:durableId="25DB4A21"/>
  <w16cid:commentId w16cid:paraId="460C1B73" w16cid:durableId="25DB4B2E"/>
  <w16cid:commentId w16cid:paraId="4E30EE7C" w16cid:durableId="25DB4B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C0796" w14:textId="77777777" w:rsidR="00EF2149" w:rsidRDefault="00EF2149" w:rsidP="004571C8">
      <w:pPr>
        <w:spacing w:after="0" w:line="240" w:lineRule="auto"/>
      </w:pPr>
      <w:r>
        <w:separator/>
      </w:r>
    </w:p>
  </w:endnote>
  <w:endnote w:type="continuationSeparator" w:id="0">
    <w:p w14:paraId="78F81664" w14:textId="77777777" w:rsidR="00EF2149" w:rsidRDefault="00EF2149"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Content>
      <w:sdt>
        <w:sdtPr>
          <w:id w:val="1728636285"/>
          <w:docPartObj>
            <w:docPartGallery w:val="Page Numbers (Top of Page)"/>
            <w:docPartUnique/>
          </w:docPartObj>
        </w:sdtPr>
        <w:sdtContent>
          <w:p w14:paraId="181A6C8A" w14:textId="2436133A" w:rsidR="00EF2149" w:rsidRDefault="00EF21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385B">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385B">
              <w:rPr>
                <w:b/>
                <w:bCs/>
                <w:noProof/>
              </w:rPr>
              <w:t>32</w:t>
            </w:r>
            <w:r>
              <w:rPr>
                <w:b/>
                <w:bCs/>
                <w:sz w:val="24"/>
                <w:szCs w:val="24"/>
              </w:rPr>
              <w:fldChar w:fldCharType="end"/>
            </w:r>
          </w:p>
        </w:sdtContent>
      </w:sdt>
    </w:sdtContent>
  </w:sdt>
  <w:p w14:paraId="48C2B98E" w14:textId="77777777" w:rsidR="00EF2149" w:rsidRDefault="00EF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8E0EB" w14:textId="77777777" w:rsidR="00EF2149" w:rsidRDefault="00EF2149" w:rsidP="004571C8">
      <w:pPr>
        <w:spacing w:after="0" w:line="240" w:lineRule="auto"/>
      </w:pPr>
      <w:r>
        <w:separator/>
      </w:r>
    </w:p>
  </w:footnote>
  <w:footnote w:type="continuationSeparator" w:id="0">
    <w:p w14:paraId="62068424" w14:textId="77777777" w:rsidR="00EF2149" w:rsidRDefault="00EF2149" w:rsidP="004571C8">
      <w:pPr>
        <w:spacing w:after="0" w:line="240" w:lineRule="auto"/>
      </w:pPr>
      <w:r>
        <w:continuationSeparator/>
      </w:r>
    </w:p>
  </w:footnote>
  <w:footnote w:id="1">
    <w:p w14:paraId="4C0760C2" w14:textId="77777777" w:rsidR="00EF2149" w:rsidRDefault="00EF2149"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EF2149" w:rsidRDefault="00EF2149"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EF2149" w:rsidRDefault="00EF2149"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EF2149" w:rsidRDefault="00EF2149"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EF2149" w:rsidRDefault="00EF2149"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EF2149" w:rsidRDefault="00EF2149"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EF2149" w:rsidRPr="00B93F15" w:rsidRDefault="00EF2149"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EF2149" w:rsidRDefault="00EF2149">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4EF4"/>
    <w:rsid w:val="0010570E"/>
    <w:rsid w:val="00106DC6"/>
    <w:rsid w:val="00114C5D"/>
    <w:rsid w:val="00115B82"/>
    <w:rsid w:val="00120E38"/>
    <w:rsid w:val="00122524"/>
    <w:rsid w:val="00123663"/>
    <w:rsid w:val="0012645B"/>
    <w:rsid w:val="00130CBA"/>
    <w:rsid w:val="001319E5"/>
    <w:rsid w:val="001342F0"/>
    <w:rsid w:val="0013490B"/>
    <w:rsid w:val="0013610E"/>
    <w:rsid w:val="0013702A"/>
    <w:rsid w:val="001433FF"/>
    <w:rsid w:val="00143C13"/>
    <w:rsid w:val="0014498A"/>
    <w:rsid w:val="00145C2F"/>
    <w:rsid w:val="00156D3F"/>
    <w:rsid w:val="00166055"/>
    <w:rsid w:val="00166CA7"/>
    <w:rsid w:val="00170E18"/>
    <w:rsid w:val="00172B79"/>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518D"/>
    <w:rsid w:val="001E680B"/>
    <w:rsid w:val="001F06A7"/>
    <w:rsid w:val="001F10A2"/>
    <w:rsid w:val="001F1CC1"/>
    <w:rsid w:val="001F302A"/>
    <w:rsid w:val="001F5425"/>
    <w:rsid w:val="002026F7"/>
    <w:rsid w:val="002032A4"/>
    <w:rsid w:val="00205F7B"/>
    <w:rsid w:val="002069CD"/>
    <w:rsid w:val="002074C9"/>
    <w:rsid w:val="00207CF0"/>
    <w:rsid w:val="002114A2"/>
    <w:rsid w:val="00211D7C"/>
    <w:rsid w:val="00213C56"/>
    <w:rsid w:val="002147EA"/>
    <w:rsid w:val="00215548"/>
    <w:rsid w:val="00222D2A"/>
    <w:rsid w:val="00227160"/>
    <w:rsid w:val="00244325"/>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2C8"/>
    <w:rsid w:val="002866DD"/>
    <w:rsid w:val="00292368"/>
    <w:rsid w:val="0029336C"/>
    <w:rsid w:val="00293497"/>
    <w:rsid w:val="002A3C1D"/>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5BDE"/>
    <w:rsid w:val="00306360"/>
    <w:rsid w:val="00314EE1"/>
    <w:rsid w:val="0031691B"/>
    <w:rsid w:val="003225D0"/>
    <w:rsid w:val="00322D66"/>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17E6"/>
    <w:rsid w:val="0040650C"/>
    <w:rsid w:val="0041050A"/>
    <w:rsid w:val="004210A0"/>
    <w:rsid w:val="004268A5"/>
    <w:rsid w:val="00426E06"/>
    <w:rsid w:val="004272DE"/>
    <w:rsid w:val="004304F0"/>
    <w:rsid w:val="00431C26"/>
    <w:rsid w:val="00433470"/>
    <w:rsid w:val="0043419B"/>
    <w:rsid w:val="00437319"/>
    <w:rsid w:val="00446E49"/>
    <w:rsid w:val="004501ED"/>
    <w:rsid w:val="00450855"/>
    <w:rsid w:val="00452E79"/>
    <w:rsid w:val="00455EC7"/>
    <w:rsid w:val="004571C8"/>
    <w:rsid w:val="00462410"/>
    <w:rsid w:val="0046398D"/>
    <w:rsid w:val="00466743"/>
    <w:rsid w:val="004718D2"/>
    <w:rsid w:val="0047607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3F8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45EC"/>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3D37"/>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38C4"/>
    <w:rsid w:val="00784AAF"/>
    <w:rsid w:val="007851AC"/>
    <w:rsid w:val="00786C8E"/>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3B1E"/>
    <w:rsid w:val="00805DB3"/>
    <w:rsid w:val="00811C9E"/>
    <w:rsid w:val="00813FEF"/>
    <w:rsid w:val="008163F3"/>
    <w:rsid w:val="008167CF"/>
    <w:rsid w:val="008229DF"/>
    <w:rsid w:val="00822B8E"/>
    <w:rsid w:val="00823E9C"/>
    <w:rsid w:val="00831EFB"/>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E7773"/>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0F58"/>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3D64"/>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97E86"/>
    <w:rsid w:val="00AA59CA"/>
    <w:rsid w:val="00AA653A"/>
    <w:rsid w:val="00AB0AD6"/>
    <w:rsid w:val="00AB20B6"/>
    <w:rsid w:val="00AB2845"/>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05F0F"/>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47CA3"/>
    <w:rsid w:val="00B512E3"/>
    <w:rsid w:val="00B5557B"/>
    <w:rsid w:val="00B577D3"/>
    <w:rsid w:val="00B57D2B"/>
    <w:rsid w:val="00B626DC"/>
    <w:rsid w:val="00B66D8F"/>
    <w:rsid w:val="00B7235F"/>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130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2960"/>
    <w:rsid w:val="00C94504"/>
    <w:rsid w:val="00C96325"/>
    <w:rsid w:val="00CA0912"/>
    <w:rsid w:val="00CA5421"/>
    <w:rsid w:val="00CA607F"/>
    <w:rsid w:val="00CB704B"/>
    <w:rsid w:val="00CC3BE0"/>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75FF8"/>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85B"/>
    <w:rsid w:val="00DD3C86"/>
    <w:rsid w:val="00DD4FE7"/>
    <w:rsid w:val="00DD7F9D"/>
    <w:rsid w:val="00DE16E1"/>
    <w:rsid w:val="00DE1768"/>
    <w:rsid w:val="00DE214A"/>
    <w:rsid w:val="00DE3190"/>
    <w:rsid w:val="00DE3376"/>
    <w:rsid w:val="00DE57A2"/>
    <w:rsid w:val="00DE6441"/>
    <w:rsid w:val="00DF1EFD"/>
    <w:rsid w:val="00E00FBD"/>
    <w:rsid w:val="00E070F6"/>
    <w:rsid w:val="00E12EF4"/>
    <w:rsid w:val="00E21CE8"/>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77D7A"/>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2149"/>
    <w:rsid w:val="00EF24F3"/>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5519"/>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6787"/>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6D7FD478DF0948A168E3916C28ABF3" ma:contentTypeVersion="10" ma:contentTypeDescription="Create a new document." ma:contentTypeScope="" ma:versionID="8396723bbd722d631a6f347c9c8726a8">
  <xsd:schema xmlns:xsd="http://www.w3.org/2001/XMLSchema" xmlns:xs="http://www.w3.org/2001/XMLSchema" xmlns:p="http://schemas.microsoft.com/office/2006/metadata/properties" xmlns:ns2="bf2b7bf8-415f-4948-ad73-df3a252e8a42" xmlns:ns3="fa3a1751-a40e-4c04-93dd-41b06e83f752" targetNamespace="http://schemas.microsoft.com/office/2006/metadata/properties" ma:root="true" ma:fieldsID="5c7cf7091634f52813f1077e1f648836" ns2:_="" ns3:_="">
    <xsd:import namespace="bf2b7bf8-415f-4948-ad73-df3a252e8a42"/>
    <xsd:import namespace="fa3a1751-a40e-4c04-93dd-41b06e83f7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b7bf8-415f-4948-ad73-df3a252e8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3a1751-a40e-4c04-93dd-41b06e83f7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60b92fb-d75c-40c8-aa37-81d8f486a247}" ma:internalName="TaxCatchAll" ma:showField="CatchAllData" ma:web="fa3a1751-a40e-4c04-93dd-41b06e83f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a3a1751-a40e-4c04-93dd-41b06e83f752" xsi:nil="true"/>
    <lcf76f155ced4ddcb4097134ff3c332f xmlns="bf2b7bf8-415f-4948-ad73-df3a252e8a4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2.xml><?xml version="1.0" encoding="utf-8"?>
<ds:datastoreItem xmlns:ds="http://schemas.openxmlformats.org/officeDocument/2006/customXml" ds:itemID="{542CCE76-83D2-4781-AE6B-F7D7E1F96DFA}"/>
</file>

<file path=customXml/itemProps3.xml><?xml version="1.0" encoding="utf-8"?>
<ds:datastoreItem xmlns:ds="http://schemas.openxmlformats.org/officeDocument/2006/customXml" ds:itemID="{D6F086EE-A501-4799-B055-0CF888F6B15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344bdced-6c57-4d7b-8a11-5814815f175b"/>
    <ds:schemaRef ds:uri="970d785d-03df-4ab2-9764-c5e22dfeb4bf"/>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664B963-3E05-427B-8C32-07694458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10369</Words>
  <Characters>59108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Clara Calvert</cp:lastModifiedBy>
  <cp:revision>3</cp:revision>
  <cp:lastPrinted>2022-03-15T15:23:00Z</cp:lastPrinted>
  <dcterms:created xsi:type="dcterms:W3CDTF">2022-08-29T10:47:00Z</dcterms:created>
  <dcterms:modified xsi:type="dcterms:W3CDTF">2022-08-29T10:49:00Z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0x010100466D7FD478DF0948A168E3916C28ABF3</vt:lpwstr>
  </property>
</Properties>
</file>