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1" w:name="page-break"/>
      <w:bookmarkEnd w:id="21"/>
      <w:r>
        <w:t xml:space="preserve">Page break</w:t>
      </w:r>
    </w:p>
    <w:p>
      <w:pPr>
        <w:pStyle w:val="Heading2"/>
      </w:pPr>
      <w:bookmarkStart w:id="22" w:name="households"/>
      <w:bookmarkEnd w:id="22"/>
      <w:r>
        <w:t xml:space="preserve">Households</w:t>
      </w:r>
    </w:p>
    <w:p>
      <w:pPr>
        <w:pStyle w:val="Heading3"/>
      </w:pPr>
      <w:bookmarkStart w:id="23" w:name="summary"/>
      <w:bookmarkEnd w:id="23"/>
      <w:r>
        <w:t xml:space="preserve">Summary: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For the most recent time periods available, Moray HSCP had: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46,162</w:t>
      </w:r>
      <w:r>
        <w:t xml:space="preserve"> </w:t>
      </w:r>
      <w:r>
        <w:t xml:space="preserve">dwellings, of which:</w:t>
      </w:r>
      <w:r>
        <w:t xml:space="preserve"> </w:t>
      </w:r>
      <w:r>
        <w:rPr>
          <w:b/>
        </w:rPr>
        <w:t xml:space="preserve">94.6%</w:t>
      </w:r>
      <w:r>
        <w:t xml:space="preserve"> </w:t>
      </w:r>
      <w:r>
        <w:t xml:space="preserve">were occupied and</w:t>
      </w:r>
      <w:r>
        <w:t xml:space="preserve"> </w:t>
      </w:r>
      <w:r>
        <w:rPr>
          <w:b/>
        </w:rPr>
        <w:t xml:space="preserve">1.7%</w:t>
      </w:r>
      <w:r>
        <w:t xml:space="preserve"> </w:t>
      </w:r>
      <w:r>
        <w:t xml:space="preserve">were second homes.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35.5%</w:t>
      </w:r>
      <w:r>
        <w:t xml:space="preserve"> </w:t>
      </w:r>
      <w:r>
        <w:t xml:space="preserve">of dwellers received a single occupant council tax discount, and</w:t>
      </w:r>
      <w:r>
        <w:t xml:space="preserve"> </w:t>
      </w:r>
      <w:r>
        <w:rPr>
          <w:b/>
        </w:rPr>
        <w:t xml:space="preserve">3.9%</w:t>
      </w:r>
      <w:r>
        <w:t xml:space="preserve"> </w:t>
      </w:r>
      <w:r>
        <w:t xml:space="preserve">were exempt from council tax entirely.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64.1%</w:t>
      </w:r>
      <w:r>
        <w:t xml:space="preserve"> </w:t>
      </w:r>
      <w:r>
        <w:t xml:space="preserve">of houses were within council tax bands A to C, and</w:t>
      </w:r>
      <w:r>
        <w:t xml:space="preserve"> </w:t>
      </w:r>
      <w:r>
        <w:rPr>
          <w:b/>
        </w:rPr>
        <w:t xml:space="preserve">7.2%</w:t>
      </w:r>
      <w:r>
        <w:t xml:space="preserve"> </w:t>
      </w:r>
      <w:r>
        <w:t xml:space="preserve">were in bands F to H.</w:t>
      </w:r>
    </w:p>
    <w:p>
      <w:pPr>
        <w:pStyle w:val="FirstParagraph"/>
      </w:pPr>
    </w:p>
    <w:p>
      <w:pPr>
        <w:pStyle w:val="BodyText"/>
      </w:pPr>
      <w:r>
        <w:t xml:space="preserve">The graph below shows the number of dwellings in Moray from 2014 to 2021.</w:t>
      </w:r>
    </w:p>
    <w:p>
      <w:pPr>
        <w:pStyle w:val="Heading4"/>
      </w:pPr>
      <w:bookmarkStart w:id="24" w:name="figure-1-number-of-dwellings-time-trend."/>
      <w:bookmarkEnd w:id="24"/>
      <w:r>
        <w:t xml:space="preserve">Figure 1: Number of dwellings time trend.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6108700" cy="26180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ing-Testing-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61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Of the total number of dwellings in 2021, 35.5% (16,383 households) were occupied by an individual receiving a single occupant council tax discount. Furthermore, 3.9% (1,780 households) were occupied and exempt from council tax.</w:t>
      </w:r>
    </w:p>
    <w:p>
      <w:pPr>
        <w:pStyle w:val="BodyText"/>
      </w:pPr>
      <w:r>
        <w:t xml:space="preserve">There were 767 dwellings classed as a second home in 2021, these dwellings made up 1.7% of the households in Moray.</w:t>
      </w:r>
    </w:p>
    <w:p>
      <w:pPr>
        <w:pStyle w:val="Heading5"/>
      </w:pPr>
      <w:bookmarkStart w:id="26" w:name="page-break-1"/>
      <w:bookmarkEnd w:id="26"/>
      <w:r>
        <w:t xml:space="preserve">Page break</w:t>
      </w:r>
    </w:p>
    <w:p>
      <w:pPr>
        <w:pStyle w:val="Heading4"/>
      </w:pPr>
      <w:bookmarkStart w:id="27" w:name="table-1-breakdown-of-dwelling-types-by-year-for-moray-hscp."/>
      <w:bookmarkEnd w:id="27"/>
      <w:r>
        <w:t xml:space="preserve">Table 1: Breakdown of dwelling types by year for Moray HSCP.</w:t>
      </w:r>
    </w:p>
    <w:p>
      <w:pPr>
        <w:pStyle w:val="FirstParagraph"/>
      </w:pPr>
    </w:p>
    <w:tbl>
      <w:tblPr>
        <w:tblStyle w:val="TableNormal"/>
        <w:tblW w:type="pct" w:w="5000.0"/>
        <w:tblLook w:firstRow="1"/>
      </w:tblPr>
      <w:tblGrid>
        <w:gridCol w:w="485"/>
        <w:gridCol w:w="1020"/>
        <w:gridCol w:w="1166"/>
        <w:gridCol w:w="1068"/>
        <w:gridCol w:w="1652"/>
        <w:gridCol w:w="1652"/>
        <w:gridCol w:w="87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Total Dwellings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Occupied Dwellings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Vacant Dwellings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Single Occupant Tax Discount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Council Tax Exempt Dwellings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Second Homes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43,788</w:t>
            </w:r>
          </w:p>
        </w:tc>
        <w:tc>
          <w:p>
            <w:pPr>
              <w:pStyle w:val="Compact"/>
              <w:jc w:val="right"/>
            </w:pPr>
            <w:r>
              <w:t xml:space="preserve">41,355</w:t>
            </w:r>
          </w:p>
        </w:tc>
        <w:tc>
          <w:p>
            <w:pPr>
              <w:pStyle w:val="Compact"/>
              <w:jc w:val="right"/>
            </w:pPr>
            <w:r>
              <w:t xml:space="preserve">1,758</w:t>
            </w:r>
          </w:p>
        </w:tc>
        <w:tc>
          <w:p>
            <w:pPr>
              <w:pStyle w:val="Compact"/>
              <w:jc w:val="right"/>
            </w:pPr>
            <w:r>
              <w:t xml:space="preserve">14,808</w:t>
            </w:r>
          </w:p>
        </w:tc>
        <w:tc>
          <w:p>
            <w:pPr>
              <w:pStyle w:val="Compact"/>
              <w:jc w:val="right"/>
            </w:pPr>
            <w:r>
              <w:t xml:space="preserve">1,539</w:t>
            </w:r>
          </w:p>
        </w:tc>
        <w:tc>
          <w:p>
            <w:pPr>
              <w:pStyle w:val="Compact"/>
              <w:jc w:val="right"/>
            </w:pPr>
            <w:r>
              <w:t xml:space="preserve">659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44,097</w:t>
            </w:r>
          </w:p>
        </w:tc>
        <w:tc>
          <w:p>
            <w:pPr>
              <w:pStyle w:val="Compact"/>
              <w:jc w:val="right"/>
            </w:pPr>
            <w:r>
              <w:t xml:space="preserve">41,675</w:t>
            </w:r>
          </w:p>
        </w:tc>
        <w:tc>
          <w:p>
            <w:pPr>
              <w:pStyle w:val="Compact"/>
              <w:jc w:val="right"/>
            </w:pPr>
            <w:r>
              <w:t xml:space="preserve">1,713</w:t>
            </w:r>
          </w:p>
        </w:tc>
        <w:tc>
          <w:p>
            <w:pPr>
              <w:pStyle w:val="Compact"/>
              <w:jc w:val="right"/>
            </w:pPr>
            <w:r>
              <w:t xml:space="preserve">15,016</w:t>
            </w:r>
          </w:p>
        </w:tc>
        <w:tc>
          <w:p>
            <w:pPr>
              <w:pStyle w:val="Compact"/>
              <w:jc w:val="right"/>
            </w:pPr>
            <w:r>
              <w:t xml:space="preserve">1,592</w:t>
            </w:r>
          </w:p>
        </w:tc>
        <w:tc>
          <w:p>
            <w:pPr>
              <w:pStyle w:val="Compact"/>
              <w:jc w:val="right"/>
            </w:pPr>
            <w:r>
              <w:t xml:space="preserve">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44,450</w:t>
            </w:r>
          </w:p>
        </w:tc>
        <w:tc>
          <w:p>
            <w:pPr>
              <w:pStyle w:val="Compact"/>
              <w:jc w:val="right"/>
            </w:pPr>
            <w:r>
              <w:t xml:space="preserve">41,993</w:t>
            </w:r>
          </w:p>
        </w:tc>
        <w:tc>
          <w:p>
            <w:pPr>
              <w:pStyle w:val="Compact"/>
              <w:jc w:val="right"/>
            </w:pPr>
            <w:r>
              <w:t xml:space="preserve">1,696</w:t>
            </w:r>
          </w:p>
        </w:tc>
        <w:tc>
          <w:p>
            <w:pPr>
              <w:pStyle w:val="Compact"/>
              <w:jc w:val="right"/>
            </w:pPr>
            <w:r>
              <w:t xml:space="preserve">15,200</w:t>
            </w:r>
          </w:p>
        </w:tc>
        <w:tc>
          <w:p>
            <w:pPr>
              <w:pStyle w:val="Compact"/>
              <w:jc w:val="right"/>
            </w:pPr>
            <w:r>
              <w:t xml:space="preserve">1,618</w:t>
            </w:r>
          </w:p>
        </w:tc>
        <w:tc>
          <w:p>
            <w:pPr>
              <w:pStyle w:val="Compact"/>
              <w:jc w:val="right"/>
            </w:pPr>
            <w:r>
              <w:t xml:space="preserve">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44,837</w:t>
            </w:r>
          </w:p>
        </w:tc>
        <w:tc>
          <w:p>
            <w:pPr>
              <w:pStyle w:val="Compact"/>
              <w:jc w:val="right"/>
            </w:pPr>
            <w:r>
              <w:t xml:space="preserve">42,300</w:t>
            </w:r>
          </w:p>
        </w:tc>
        <w:tc>
          <w:p>
            <w:pPr>
              <w:pStyle w:val="Compact"/>
              <w:jc w:val="right"/>
            </w:pPr>
            <w:r>
              <w:t xml:space="preserve">1,751</w:t>
            </w:r>
          </w:p>
        </w:tc>
        <w:tc>
          <w:p>
            <w:pPr>
              <w:pStyle w:val="Compact"/>
              <w:jc w:val="right"/>
            </w:pPr>
            <w:r>
              <w:t xml:space="preserve">15,350</w:t>
            </w:r>
          </w:p>
        </w:tc>
        <w:tc>
          <w:p>
            <w:pPr>
              <w:pStyle w:val="Compact"/>
              <w:jc w:val="right"/>
            </w:pPr>
            <w:r>
              <w:t xml:space="preserve">1,637</w:t>
            </w:r>
          </w:p>
        </w:tc>
        <w:tc>
          <w:p>
            <w:pPr>
              <w:pStyle w:val="Compact"/>
              <w:jc w:val="right"/>
            </w:pPr>
            <w:r>
              <w:t xml:space="preserve">785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45,206</w:t>
            </w:r>
          </w:p>
        </w:tc>
        <w:tc>
          <w:p>
            <w:pPr>
              <w:pStyle w:val="Compact"/>
              <w:jc w:val="right"/>
            </w:pPr>
            <w:r>
              <w:t xml:space="preserve">42,584</w:t>
            </w:r>
          </w:p>
        </w:tc>
        <w:tc>
          <w:p>
            <w:pPr>
              <w:pStyle w:val="Compact"/>
              <w:jc w:val="right"/>
            </w:pPr>
            <w:r>
              <w:t xml:space="preserve">1,849</w:t>
            </w:r>
          </w:p>
        </w:tc>
        <w:tc>
          <w:p>
            <w:pPr>
              <w:pStyle w:val="Compact"/>
              <w:jc w:val="right"/>
            </w:pPr>
            <w:r>
              <w:t xml:space="preserve">15,601</w:t>
            </w:r>
          </w:p>
        </w:tc>
        <w:tc>
          <w:p>
            <w:pPr>
              <w:pStyle w:val="Compact"/>
              <w:jc w:val="right"/>
            </w:pPr>
            <w:r>
              <w:t xml:space="preserve">1,670</w:t>
            </w:r>
          </w:p>
        </w:tc>
        <w:tc>
          <w:p>
            <w:pPr>
              <w:pStyle w:val="Compact"/>
              <w:jc w:val="right"/>
            </w:pPr>
            <w:r>
              <w:t xml:space="preserve">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45,626</w:t>
            </w:r>
          </w:p>
        </w:tc>
        <w:tc>
          <w:p>
            <w:pPr>
              <w:pStyle w:val="Compact"/>
              <w:jc w:val="right"/>
            </w:pPr>
            <w:r>
              <w:t xml:space="preserve">42,980</w:t>
            </w:r>
          </w:p>
        </w:tc>
        <w:tc>
          <w:p>
            <w:pPr>
              <w:pStyle w:val="Compact"/>
              <w:jc w:val="right"/>
            </w:pPr>
            <w:r>
              <w:t xml:space="preserve">1,836</w:t>
            </w:r>
          </w:p>
        </w:tc>
        <w:tc>
          <w:p>
            <w:pPr>
              <w:pStyle w:val="Compact"/>
              <w:jc w:val="right"/>
            </w:pPr>
            <w:r>
              <w:t xml:space="preserve">15,783</w:t>
            </w:r>
          </w:p>
        </w:tc>
        <w:tc>
          <w:p>
            <w:pPr>
              <w:pStyle w:val="Compact"/>
              <w:jc w:val="right"/>
            </w:pPr>
            <w:r>
              <w:t xml:space="preserve">1,702</w:t>
            </w:r>
          </w:p>
        </w:tc>
        <w:tc>
          <w:p>
            <w:pPr>
              <w:pStyle w:val="Compact"/>
              <w:jc w:val="right"/>
            </w:pPr>
            <w:r>
              <w:t xml:space="preserve">810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45,835</w:t>
            </w:r>
          </w:p>
        </w:tc>
        <w:tc>
          <w:p>
            <w:pPr>
              <w:pStyle w:val="Compact"/>
              <w:jc w:val="right"/>
            </w:pPr>
            <w:r>
              <w:t xml:space="preserve">43,184</w:t>
            </w:r>
          </w:p>
        </w:tc>
        <w:tc>
          <w:p>
            <w:pPr>
              <w:pStyle w:val="Compact"/>
              <w:jc w:val="right"/>
            </w:pPr>
            <w:r>
              <w:t xml:space="preserve">1,864</w:t>
            </w:r>
          </w:p>
        </w:tc>
        <w:tc>
          <w:p>
            <w:pPr>
              <w:pStyle w:val="Compact"/>
              <w:jc w:val="right"/>
            </w:pPr>
            <w:r>
              <w:t xml:space="preserve">15,485</w:t>
            </w:r>
          </w:p>
        </w:tc>
        <w:tc>
          <w:p>
            <w:pPr>
              <w:pStyle w:val="Compact"/>
              <w:jc w:val="right"/>
            </w:pPr>
            <w:r>
              <w:t xml:space="preserve">1,718</w:t>
            </w:r>
          </w:p>
        </w:tc>
        <w:tc>
          <w:p>
            <w:pPr>
              <w:pStyle w:val="Compact"/>
              <w:jc w:val="right"/>
            </w:pPr>
            <w:r>
              <w:t xml:space="preserve">787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p>
            <w:pPr>
              <w:pStyle w:val="Compact"/>
              <w:jc w:val="right"/>
            </w:pPr>
            <w:r>
              <w:t xml:space="preserve">46,162</w:t>
            </w:r>
          </w:p>
        </w:tc>
        <w:tc>
          <w:p>
            <w:pPr>
              <w:pStyle w:val="Compact"/>
              <w:jc w:val="right"/>
            </w:pPr>
            <w:r>
              <w:t xml:space="preserve">43,651</w:t>
            </w:r>
          </w:p>
        </w:tc>
        <w:tc>
          <w:p>
            <w:pPr>
              <w:pStyle w:val="Compact"/>
              <w:jc w:val="right"/>
            </w:pPr>
            <w:r>
              <w:t xml:space="preserve">1,744</w:t>
            </w:r>
          </w:p>
        </w:tc>
        <w:tc>
          <w:p>
            <w:pPr>
              <w:pStyle w:val="Compact"/>
              <w:jc w:val="right"/>
            </w:pPr>
            <w:r>
              <w:t xml:space="preserve">16,383</w:t>
            </w:r>
          </w:p>
        </w:tc>
        <w:tc>
          <w:p>
            <w:pPr>
              <w:pStyle w:val="Compact"/>
              <w:jc w:val="right"/>
            </w:pPr>
            <w:r>
              <w:t xml:space="preserve">1,780</w:t>
            </w:r>
          </w:p>
        </w:tc>
        <w:tc>
          <w:p>
            <w:pPr>
              <w:pStyle w:val="Compact"/>
              <w:jc w:val="right"/>
            </w:pPr>
            <w:r>
              <w:t xml:space="preserve">767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The proportion of households within each council tax band are displayed in the chart below, figures are shown in Table 2.</w:t>
      </w:r>
    </w:p>
    <w:p>
      <w:pPr>
        <w:pStyle w:val="Heading4"/>
      </w:pPr>
      <w:bookmarkStart w:id="28" w:name="figure-2-breakdown-of-households-by-council-tax-band-for-moray-in-2021."/>
      <w:bookmarkEnd w:id="28"/>
      <w:r>
        <w:t xml:space="preserve">Figure 2: Breakdown of households by council tax band for Moray in 2021.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6108700" cy="1745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ing-Testing-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74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table-2-percentage-of-households-by-council-tax-band-for-moray-in-2021."/>
      <w:bookmarkEnd w:id="30"/>
      <w:r>
        <w:t xml:space="preserve">Table 2: Percentage of households by council tax band for Moray in 2021.</w:t>
      </w:r>
    </w:p>
    <w:p>
      <w:pPr>
        <w:pStyle w:val="FirstParagraph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Tax Band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 of households</w:t>
            </w:r>
          </w:p>
        </w:tc>
        <w:tc>
          <w:p>
            <w:pPr>
              <w:pStyle w:val="Compact"/>
              <w:jc w:val="right"/>
            </w:pPr>
            <w:r>
              <w:t xml:space="preserve">25.80%</w:t>
            </w:r>
          </w:p>
        </w:tc>
        <w:tc>
          <w:p>
            <w:pPr>
              <w:pStyle w:val="Compact"/>
              <w:jc w:val="right"/>
            </w:pPr>
            <w:r>
              <w:t xml:space="preserve">22.80%</w:t>
            </w:r>
          </w:p>
        </w:tc>
        <w:tc>
          <w:p>
            <w:pPr>
              <w:pStyle w:val="Compact"/>
              <w:jc w:val="right"/>
            </w:pPr>
            <w:r>
              <w:t xml:space="preserve">15.60%</w:t>
            </w:r>
          </w:p>
        </w:tc>
        <w:tc>
          <w:p>
            <w:pPr>
              <w:pStyle w:val="Compact"/>
              <w:jc w:val="right"/>
            </w:pPr>
            <w:r>
              <w:t xml:space="preserve">14.60%</w:t>
            </w:r>
          </w:p>
        </w:tc>
        <w:tc>
          <w:p>
            <w:pPr>
              <w:pStyle w:val="Compact"/>
              <w:jc w:val="right"/>
            </w:pPr>
            <w:r>
              <w:t xml:space="preserve">14.10%</w:t>
            </w:r>
          </w:p>
        </w:tc>
        <w:tc>
          <w:p>
            <w:pPr>
              <w:pStyle w:val="Compact"/>
              <w:jc w:val="right"/>
            </w:pPr>
            <w:r>
              <w:t xml:space="preserve">5.40%</w:t>
            </w:r>
          </w:p>
        </w:tc>
        <w:tc>
          <w:p>
            <w:pPr>
              <w:pStyle w:val="Compact"/>
              <w:jc w:val="right"/>
            </w:pPr>
            <w:r>
              <w:t xml:space="preserve">1.60%</w:t>
            </w:r>
          </w:p>
        </w:tc>
        <w:tc>
          <w:p>
            <w:pPr>
              <w:pStyle w:val="Compact"/>
              <w:jc w:val="right"/>
            </w:pPr>
            <w:r>
              <w:t xml:space="preserve">0.23%</w:t>
            </w:r>
          </w:p>
        </w:tc>
      </w:tr>
    </w:tbl>
    <w:sectPr w:rsidR="009023E4" w:rsidRPr="009023E4" w:rsidSect="009023E4">
      <w:headerReference w:type="default" r:id="rId8"/>
      <w:footerReference w:type="default" r:id="rId9"/>
      <w:footerReference w:type="first" r:id="rId10"/>
      <w:type w:val="continuous"/>
      <w:pgSz w:w="11906" w:h="16838"/>
      <w:pgMar w:top="1418" w:right="1134" w:bottom="1134" w:left="1134" w:header="0" w:footer="39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8548"/>
      <w:docPartObj>
        <w:docPartGallery w:val="Page Numbers (Bottom of Page)"/>
        <w:docPartUnique/>
      </w:docPartObj>
    </w:sdtPr>
    <w:sdtEndPr/>
    <w:sdtContent>
      <w:p w14:paraId="4049D365" w14:textId="77777777" w:rsidR="00284F20" w:rsidRDefault="009023E4" w:rsidP="005F25DF">
        <w:pPr>
          <w:pStyle w:val="Footer"/>
        </w:pPr>
        <w:r>
          <w:rPr>
            <w:noProof/>
            <w:lang w:eastAsia="en-GB"/>
          </w:rPr>
          <w:pict w14:anchorId="6C53BDA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14:paraId="6B3F8D80" w14:textId="77777777" w:rsidR="00284F20" w:rsidRDefault="0086165E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2C1320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14:paraId="0024501B" w14:textId="77777777" w:rsidR="00284F20" w:rsidRDefault="00284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0031"/>
      <w:docPartObj>
        <w:docPartGallery w:val="Page Numbers (Bottom of Page)"/>
        <w:docPartUnique/>
      </w:docPartObj>
    </w:sdtPr>
    <w:sdtEndPr/>
    <w:sdtContent>
      <w:p w14:paraId="05A191A6" w14:textId="77777777" w:rsidR="00284F20" w:rsidRDefault="00284F20" w:rsidP="003063C7">
        <w:pPr>
          <w:pStyle w:val="Footer"/>
        </w:pPr>
      </w:p>
      <w:p w14:paraId="225D40A0" w14:textId="77777777" w:rsidR="00284F20" w:rsidRDefault="009023E4" w:rsidP="006F6204">
        <w:pPr>
          <w:pStyle w:val="Footer"/>
          <w:jc w:val="center"/>
        </w:pPr>
      </w:p>
    </w:sdtContent>
  </w:sdt>
  <w:p w14:paraId="6E84EE9A" w14:textId="77777777" w:rsidR="00284F20" w:rsidRDefault="00284F2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521AA" w14:textId="5D233AE4" w:rsidR="00284F20" w:rsidRPr="00836B45" w:rsidRDefault="009023E4" w:rsidP="009023E4">
    <w:pPr>
      <w:pStyle w:val="HeaderTitle"/>
      <w:tabs>
        <w:tab w:val="left" w:pos="0"/>
        <w:tab w:val="center" w:pos="5102"/>
        <w:tab w:val="left" w:pos="9180"/>
      </w:tabs>
      <w:rPr>
        <w:color w:val="FF0000"/>
        <w:position w:val="92"/>
        <w:sz w:val="22"/>
      </w:rPr>
    </w:pPr>
    <w:r>
      <w:rPr>
        <w:noProof/>
        <w:color w:val="00A2E5"/>
        <w:position w:val="92"/>
        <w:sz w:val="24"/>
        <w:lang w:eastAsia="en-GB"/>
      </w:rPr>
      <w:pict w14:anchorId="103F6D6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alt="#" style="position:absolute;margin-left:0;margin-top:39.05pt;width:480.3pt;height:0;z-index:251666432" o:connectortype="straight" strokecolor="#00a2e5"/>
      </w:pict>
    </w:r>
    <w:r>
      <w:rPr>
        <w:color w:val="00A2E5"/>
        <w:position w:val="92"/>
        <w:sz w:val="24"/>
      </w:rPr>
      <w:tab/>
    </w:r>
    <w:r w:rsidR="000F1701">
      <w:rPr>
        <w:color w:val="00A2E5"/>
        <w:position w:val="92"/>
        <w:sz w:val="24"/>
      </w:rPr>
      <w:t xml:space="preserve">PHS </w:t>
    </w:r>
    <w:r w:rsidR="00265D89" w:rsidRPr="00F11FD8">
      <w:rPr>
        <w:color w:val="00A2E5"/>
        <w:position w:val="92"/>
        <w:sz w:val="24"/>
      </w:rPr>
      <w:t>LIST Locality Profiles</w:t>
    </w:r>
    <w:r w:rsidR="00836B45">
      <w:rPr>
        <w:color w:val="00A2E5"/>
        <w:position w:val="92"/>
        <w:sz w:val="24"/>
      </w:rPr>
      <w:t xml:space="preserve"> – </w:t>
    </w:r>
    <w:r w:rsidR="00836B45">
      <w:rPr>
        <w:color w:val="FF0000"/>
        <w:position w:val="92"/>
        <w:sz w:val="24"/>
      </w:rPr>
      <w:t>Management Information Only</w:t>
    </w:r>
    <w:r>
      <w:rPr>
        <w:color w:val="FF0000"/>
        <w:position w:val="92"/>
        <w:sz w:val="24"/>
      </w:rPr>
      <w:tab/>
    </w:r>
  </w:p>
</w:hdr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032a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40f8da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E4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64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3358B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641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3358B"/>
    </w:rPr>
  </w:style>
  <w:style w:type="paragraph" w:styleId="Heading5">
    <w:name w:val="heading 5"/>
    <w:basedOn w:val="Normal"/>
    <w:next w:val="Normal"/>
    <w:link w:val="Heading5Char"/>
    <w:uiPriority w:val="9"/>
    <w:qFormat/>
    <w:rsid w:val="00603B72"/>
    <w:pPr>
      <w:keepNext/>
      <w:keepLines/>
      <w:pageBreakBefore/>
      <w:spacing w:after="160" w:line="20" w:lineRule="exact"/>
      <w:outlineLvl w:val="4"/>
    </w:pPr>
    <w:rPr>
      <w:rFonts w:eastAsiaTheme="majorEastAsia" w:cstheme="majorBidi"/>
      <w:b/>
      <w:color w:val="FFFFFF" w:themeColor="background1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553"/>
    <w:pPr>
      <w:keepNext/>
      <w:keepLines/>
      <w:spacing w:after="0"/>
      <w:ind w:left="284" w:right="284"/>
      <w:outlineLvl w:val="5"/>
    </w:pPr>
    <w:rPr>
      <w:rFonts w:eastAsiaTheme="majorEastAsia" w:cstheme="majorBidi"/>
      <w:i/>
      <w:iCs/>
      <w:sz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585641"/>
    <w:pPr>
      <w:keepNext/>
      <w:keepLines/>
      <w:pageBreakBefore/>
      <w:outlineLvl w:val="6"/>
    </w:pPr>
    <w:rPr>
      <w:rFonts w:eastAsiaTheme="majorEastAsia" w:cstheme="majorBidi"/>
      <w:b/>
      <w:iCs/>
      <w:color w:val="43358B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85641"/>
    <w:rPr>
      <w:rFonts w:ascii="Arial" w:eastAsiaTheme="majorEastAsia" w:hAnsi="Arial" w:cstheme="majorBidi"/>
      <w:b/>
      <w:bCs/>
      <w:color w:val="43358B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85641"/>
    <w:rPr>
      <w:rFonts w:ascii="Arial" w:eastAsiaTheme="majorEastAsia" w:hAnsi="Arial" w:cstheme="majorBidi"/>
      <w:b/>
      <w:bCs/>
      <w:iCs/>
      <w:color w:val="43358B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03B72"/>
    <w:rPr>
      <w:rFonts w:ascii="Arial" w:eastAsiaTheme="majorEastAsia" w:hAnsi="Arial" w:cstheme="majorBidi"/>
      <w:b/>
      <w:color w:val="FFFFFF" w:themeColor="background1"/>
      <w:sz w:val="16"/>
    </w:rPr>
  </w:style>
  <w:style w:type="table" w:styleId="TableGrid">
    <w:name w:val="Table Grid"/>
    <w:basedOn w:val="TableNormal"/>
    <w:uiPriority w:val="59"/>
    <w:rsid w:val="007827BC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color w:val="FFFFFF" w:themeColor="background1"/>
        <w:sz w:val="24"/>
      </w:rPr>
      <w:tblPr/>
      <w:tcPr>
        <w:shd w:val="clear" w:color="auto" w:fill="43358B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AA3553"/>
    <w:rPr>
      <w:rFonts w:ascii="Arial" w:eastAsiaTheme="majorEastAsia" w:hAnsi="Arial" w:cstheme="majorBidi"/>
      <w:i/>
      <w:iCs/>
      <w:sz w:val="20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585641"/>
    <w:pPr>
      <w:keepNext/>
      <w:keepLines/>
      <w:pageBreakBefore/>
    </w:pPr>
    <w:rPr>
      <w:b/>
      <w:color w:val="43358B"/>
    </w:rPr>
  </w:style>
  <w:style w:type="character" w:customStyle="1" w:styleId="Heading4pgbrkChar">
    <w:name w:val="Heading 4_pgbrk Char"/>
    <w:basedOn w:val="DefaultParagraphFont"/>
    <w:link w:val="Heading4pgbrk"/>
    <w:rsid w:val="00585641"/>
    <w:rPr>
      <w:rFonts w:ascii="Arial" w:hAnsi="Arial"/>
      <w:b/>
      <w:color w:val="43358B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585641"/>
    <w:pPr>
      <w:keepNext/>
      <w:keepLines/>
      <w:pageBreakBefore/>
      <w:outlineLvl w:val="1"/>
    </w:pPr>
    <w:rPr>
      <w:b/>
      <w:color w:val="43358B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link w:val="NormalNotesChar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585641"/>
    <w:rPr>
      <w:rFonts w:ascii="Arial" w:hAnsi="Arial"/>
      <w:b/>
      <w:color w:val="43358B"/>
      <w:sz w:val="32"/>
    </w:rPr>
  </w:style>
  <w:style w:type="table" w:customStyle="1" w:styleId="ISDPubsTables">
    <w:name w:val="ISD_Pubs_Tables"/>
    <w:basedOn w:val="TableNormal"/>
    <w:uiPriority w:val="99"/>
    <w:qFormat/>
    <w:rsid w:val="007B5CB5"/>
    <w:pPr>
      <w:spacing w:after="0" w:line="240" w:lineRule="auto"/>
      <w:jc w:val="right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color w:val="FFFFFF" w:themeColor="background1"/>
        <w:sz w:val="24"/>
      </w:rPr>
      <w:tblPr/>
      <w:tcPr>
        <w:shd w:val="clear" w:color="auto" w:fill="43358B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/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585641"/>
    <w:rPr>
      <w:rFonts w:ascii="Arial" w:eastAsiaTheme="majorEastAsia" w:hAnsi="Arial" w:cstheme="majorBidi"/>
      <w:b/>
      <w:iCs/>
      <w:color w:val="43358B"/>
      <w:sz w:val="32"/>
    </w:rPr>
  </w:style>
  <w:style w:type="paragraph" w:customStyle="1" w:styleId="SmallItalics">
    <w:name w:val="Small_Italics"/>
    <w:basedOn w:val="NormalNotes"/>
    <w:next w:val="NoSpacing"/>
    <w:link w:val="SmallItalicsChar"/>
    <w:rsid w:val="00233364"/>
    <w:rPr>
      <w:i/>
      <w:sz w:val="20"/>
    </w:rPr>
  </w:style>
  <w:style w:type="character" w:customStyle="1" w:styleId="NormalNotesChar">
    <w:name w:val="Normal_Notes Char"/>
    <w:basedOn w:val="DefaultParagraphFont"/>
    <w:link w:val="NormalNotes"/>
    <w:rsid w:val="00D1000C"/>
    <w:rPr>
      <w:rFonts w:ascii="Arial" w:hAnsi="Arial"/>
    </w:rPr>
  </w:style>
  <w:style w:type="character" w:customStyle="1" w:styleId="SmallItalicsChar">
    <w:name w:val="Small_Italics Char"/>
    <w:basedOn w:val="NormalNotesChar"/>
    <w:link w:val="SmallItalics"/>
    <w:rsid w:val="00233364"/>
    <w:rPr>
      <w:rFonts w:ascii="Arial" w:hAnsi="Arial"/>
      <w:i/>
      <w:sz w:val="20"/>
    </w:rPr>
  </w:style>
  <w:style w:type="character" w:styleId="SubtleEmphasis">
    <w:name w:val="Subtle Emphasis"/>
    <w:basedOn w:val="DefaultParagraphFont"/>
    <w:uiPriority w:val="19"/>
    <w:qFormat/>
    <w:rsid w:val="00737140"/>
    <w:rPr>
      <w:i/>
      <w:iCs/>
      <w:color w:val="404040" w:themeColor="text1" w:themeTint="BF"/>
      <w:sz w:val="20"/>
    </w:rPr>
  </w:style>
  <w:style w:type="paragraph" w:customStyle="1" w:styleId="PublicationTitle">
    <w:name w:val="Publication Title"/>
    <w:basedOn w:val="Normal"/>
    <w:autoRedefine/>
    <w:qFormat/>
    <w:rsid w:val="00822EC5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customStyle="1" w:styleId="Publicationsubtitle">
    <w:name w:val="Publication subtitle"/>
    <w:basedOn w:val="PublicationTitle"/>
    <w:autoRedefine/>
    <w:qFormat/>
    <w:rsid w:val="00822EC5"/>
    <w:pPr>
      <w:spacing w:line="360" w:lineRule="exact"/>
    </w:pPr>
    <w:rPr>
      <w:sz w:val="3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2023-02-22T16:47:24Z</dcterms:created>
  <dcterms:modified xsi:type="dcterms:W3CDTF">2023-02-22T16:47:24Z</dcterms:modified>
</cp:coreProperties>
</file>