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6.png" ContentType="image/png"/>
  <Override PartName="/word/media/rId53.png" ContentType="image/png"/>
  <Override PartName="/word/media/rId57.png" ContentType="image/png"/>
  <Override PartName="/word/media/rId63.png" ContentType="image/png"/>
  <Override PartName="/word/media/rId67.png" ContentType="image/png"/>
  <Override PartName="/word/media/rId69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40.png" ContentType="image/png"/>
  <Override PartName="/word/media/rId44.png" ContentType="image/png"/>
  <Override PartName="/word/media/rId46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ospital-and-community-care"/>
      <w:bookmarkEnd w:id="21"/>
      <w:r>
        <w:t xml:space="preserve">Hospital and Community Care</w:t>
      </w:r>
    </w:p>
    <w:p>
      <w:pPr>
        <w:pStyle w:val="Heading3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This section includes acute hospital data, delayed discharge bed days and A&amp;E attendances.</w:t>
      </w:r>
    </w:p>
    <w:p>
      <w:pPr>
        <w:pStyle w:val="BodyText"/>
      </w:pPr>
      <w:r>
        <w:rPr>
          <w:b/>
        </w:rPr>
        <w:t xml:space="preserve">For the most recent time periods available, Moray had:</w:t>
      </w:r>
    </w:p>
    <w:p>
      <w:pPr>
        <w:numPr>
          <w:numId w:val="1001"/>
          <w:ilvl w:val="0"/>
        </w:numPr>
      </w:pPr>
      <w:r>
        <w:rPr>
          <w:b/>
        </w:rPr>
        <w:t xml:space="preserve">8,475</w:t>
      </w:r>
      <w:r>
        <w:t xml:space="preserve"> </w:t>
      </w:r>
      <w:r>
        <w:t xml:space="preserve">emergency hospital admissions per 100,000 population, compared to 10,434 in Scotland.</w:t>
      </w:r>
    </w:p>
    <w:p>
      <w:pPr>
        <w:numPr>
          <w:numId w:val="1001"/>
          <w:ilvl w:val="0"/>
        </w:numPr>
      </w:pPr>
      <w:r>
        <w:rPr>
          <w:b/>
        </w:rPr>
        <w:t xml:space="preserve">62,077</w:t>
      </w:r>
      <w:r>
        <w:t xml:space="preserve"> </w:t>
      </w:r>
      <w:r>
        <w:t xml:space="preserve">unscheduled acute specialty bed days per 100,000 population, compared to 71,792 in Scotland.</w:t>
      </w:r>
    </w:p>
    <w:p>
      <w:pPr>
        <w:numPr>
          <w:numId w:val="1001"/>
          <w:ilvl w:val="0"/>
        </w:numPr>
      </w:pPr>
      <w:r>
        <w:rPr>
          <w:b/>
        </w:rPr>
        <w:t xml:space="preserve">24,789</w:t>
      </w:r>
      <w:r>
        <w:t xml:space="preserve"> </w:t>
      </w:r>
      <w:r>
        <w:t xml:space="preserve">A&amp;E attendances per 100,000 population, compared to 25,791 in Scotland.</w:t>
      </w:r>
    </w:p>
    <w:p>
      <w:pPr>
        <w:numPr>
          <w:numId w:val="1001"/>
          <w:ilvl w:val="0"/>
        </w:numPr>
      </w:pPr>
      <w:r>
        <w:rPr>
          <w:b/>
        </w:rPr>
        <w:t xml:space="preserve">41,883</w:t>
      </w:r>
      <w:r>
        <w:t xml:space="preserve"> </w:t>
      </w:r>
      <w:r>
        <w:t xml:space="preserve">delayed discharge bed days per 100,000 population aged over 65, compared to 40,774 in Scotland.</w:t>
      </w:r>
    </w:p>
    <w:p>
      <w:pPr>
        <w:numPr>
          <w:numId w:val="1001"/>
          <w:ilvl w:val="0"/>
        </w:numPr>
      </w:pPr>
      <w:r>
        <w:rPr>
          <w:b/>
        </w:rPr>
        <w:t xml:space="preserve">1,811</w:t>
      </w:r>
      <w:r>
        <w:t xml:space="preserve"> </w:t>
      </w:r>
      <w:r>
        <w:t xml:space="preserve">emergency hospital admissions from falls per 100,000 population aged over 65, compared to 2,281 in Scotland.</w:t>
      </w:r>
    </w:p>
    <w:p>
      <w:pPr>
        <w:numPr>
          <w:numId w:val="1001"/>
          <w:ilvl w:val="0"/>
        </w:numPr>
      </w:pPr>
      <w:r>
        <w:rPr>
          <w:b/>
        </w:rPr>
        <w:t xml:space="preserve">85.7</w:t>
      </w:r>
      <w:r>
        <w:t xml:space="preserve"> </w:t>
      </w:r>
      <w:r>
        <w:t xml:space="preserve">emergency readmissions (28 day) per 1,000 discharges, compared to 106.5 in Scotland.</w:t>
      </w:r>
    </w:p>
    <w:p>
      <w:pPr>
        <w:numPr>
          <w:numId w:val="1001"/>
          <w:ilvl w:val="0"/>
        </w:numPr>
      </w:pPr>
      <w:r>
        <w:rPr>
          <w:b/>
        </w:rPr>
        <w:t xml:space="preserve">1,195</w:t>
      </w:r>
      <w:r>
        <w:t xml:space="preserve"> </w:t>
      </w:r>
      <w:r>
        <w:t xml:space="preserve">potentially preventable hospital admissions per 100,000 population, compared to 1,464 in Scotland.</w:t>
      </w:r>
    </w:p>
    <w:p>
      <w:pPr>
        <w:pStyle w:val="Heading5"/>
      </w:pPr>
      <w:bookmarkStart w:id="23" w:name="pagebreak"/>
      <w:bookmarkEnd w:id="23"/>
      <w:r>
        <w:t xml:space="preserve">Pagebreak</w:t>
      </w:r>
    </w:p>
    <w:p>
      <w:pPr>
        <w:pStyle w:val="Heading3"/>
      </w:pPr>
      <w:bookmarkStart w:id="24" w:name="emergency-admissions"/>
      <w:bookmarkEnd w:id="24"/>
      <w:r>
        <w:t xml:space="preserve">Emergency Admissions</w:t>
      </w:r>
    </w:p>
    <w:p>
      <w:pPr>
        <w:pStyle w:val="Heading4"/>
      </w:pPr>
      <w:bookmarkStart w:id="25" w:name="figure-1-emergency-admissions-by-geographical-area"/>
      <w:bookmarkEnd w:id="25"/>
      <w:r>
        <w:t xml:space="preserve">Figure 1: Emergency admissions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figure-2-emergency-admissions-by-age-group"/>
      <w:bookmarkEnd w:id="27"/>
      <w:r>
        <w:t xml:space="preserve">Figure 2: Emergency admissions by age group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9" w:name="page-break"/>
      <w:bookmarkEnd w:id="29"/>
      <w:r>
        <w:t xml:space="preserve">Page break</w:t>
      </w:r>
    </w:p>
    <w:p>
      <w:pPr>
        <w:pStyle w:val="Heading3"/>
      </w:pPr>
      <w:bookmarkStart w:id="30" w:name="unscheduled-acute-bed-days"/>
      <w:bookmarkEnd w:id="30"/>
      <w:r>
        <w:t xml:space="preserve">Unscheduled Acute Bed Days</w:t>
      </w:r>
    </w:p>
    <w:p>
      <w:pPr>
        <w:pStyle w:val="Heading4"/>
      </w:pPr>
      <w:bookmarkStart w:id="31" w:name="figure-3-unscheduled-acute-bed-days-by-geographical-area"/>
      <w:bookmarkEnd w:id="31"/>
      <w:r>
        <w:t xml:space="preserve">Figure 3: Unscheduled acute bed days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figure-4-unscheduled-acute-bed-days-by-age-group"/>
      <w:bookmarkEnd w:id="33"/>
      <w:r>
        <w:t xml:space="preserve">Figure 4: Unscheduled acute bed days by age group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page-break-1"/>
      <w:bookmarkEnd w:id="35"/>
      <w:r>
        <w:t xml:space="preserve">Page break</w:t>
      </w:r>
    </w:p>
    <w:p>
      <w:pPr>
        <w:pStyle w:val="Heading3"/>
      </w:pPr>
      <w:bookmarkStart w:id="36" w:name="ae-attendances"/>
      <w:bookmarkEnd w:id="36"/>
      <w:r>
        <w:t xml:space="preserve">A&amp;E Attendances</w:t>
      </w:r>
    </w:p>
    <w:p>
      <w:pPr>
        <w:pStyle w:val="Heading4"/>
      </w:pPr>
      <w:bookmarkStart w:id="37" w:name="figure-5-ae-attendances-by-geographical-area"/>
      <w:bookmarkEnd w:id="37"/>
      <w:r>
        <w:t xml:space="preserve">Figure 5: A&amp;E attendances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figure-6-ae-attendances-by-age-group"/>
      <w:bookmarkEnd w:id="39"/>
      <w:r>
        <w:t xml:space="preserve">Figure 6: A&amp;E attendances by age group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1" w:name="page-break-2"/>
      <w:bookmarkEnd w:id="41"/>
      <w:r>
        <w:t xml:space="preserve">Page break</w:t>
      </w:r>
    </w:p>
    <w:p>
      <w:pPr>
        <w:pStyle w:val="Heading3"/>
      </w:pPr>
      <w:bookmarkStart w:id="42" w:name="emergency-readmissions-28-days"/>
      <w:bookmarkEnd w:id="42"/>
      <w:r>
        <w:t xml:space="preserve">Emergency Readmissions (28 days)</w:t>
      </w:r>
    </w:p>
    <w:p>
      <w:pPr>
        <w:pStyle w:val="Heading4"/>
      </w:pPr>
      <w:bookmarkStart w:id="43" w:name="figure-7-emergency-readmissions-28-days-by-geographical-area"/>
      <w:bookmarkEnd w:id="43"/>
      <w:r>
        <w:t xml:space="preserve">Figure 7: Emergency readmissions (28 days)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figure-8-emergency-readmissions-28-days-by-age-group"/>
      <w:bookmarkEnd w:id="45"/>
      <w:r>
        <w:t xml:space="preserve">Figure 8: Emergency readmissions (28 days) by age group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7" w:name="page-break-3"/>
      <w:bookmarkEnd w:id="47"/>
      <w:r>
        <w:t xml:space="preserve">Page break</w:t>
      </w:r>
    </w:p>
    <w:p>
      <w:pPr>
        <w:pStyle w:val="Heading3"/>
      </w:pPr>
      <w:bookmarkStart w:id="48" w:name="delayed-discharge-bed-days"/>
      <w:bookmarkEnd w:id="48"/>
      <w:r>
        <w:t xml:space="preserve">Delayed Discharge Bed Days</w:t>
      </w:r>
    </w:p>
    <w:p>
      <w:pPr>
        <w:pStyle w:val="Heading4"/>
      </w:pPr>
      <w:bookmarkStart w:id="49" w:name="figure-9-delayed-discharge-bed-days-in-population-aged-65-by-geographical-area"/>
      <w:bookmarkEnd w:id="49"/>
      <w:r>
        <w:t xml:space="preserve">Figure 9: Delayed discharge bed days in population aged 65+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emergency-admissions-from-a-fall"/>
      <w:bookmarkEnd w:id="51"/>
      <w:r>
        <w:t xml:space="preserve">Emergency admissions from a fall</w:t>
      </w:r>
    </w:p>
    <w:p>
      <w:pPr>
        <w:pStyle w:val="Heading4"/>
      </w:pPr>
      <w:bookmarkStart w:id="52" w:name="figure-10-falls-in-population-aged-65-by-geographical-area"/>
      <w:bookmarkEnd w:id="52"/>
      <w:r>
        <w:t xml:space="preserve">Figure 10: Falls in population aged 65+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4" w:name="page-break-4"/>
      <w:bookmarkEnd w:id="54"/>
      <w:r>
        <w:t xml:space="preserve">Page break</w:t>
      </w:r>
    </w:p>
    <w:p>
      <w:pPr>
        <w:pStyle w:val="Heading3"/>
      </w:pPr>
      <w:bookmarkStart w:id="55" w:name="potentially-preventable-admissions-ppas"/>
      <w:bookmarkEnd w:id="55"/>
      <w:r>
        <w:t xml:space="preserve">Potentially Preventable Admissions (PPAs)</w:t>
      </w:r>
    </w:p>
    <w:p>
      <w:pPr>
        <w:pStyle w:val="FirstParagraph"/>
      </w:pPr>
      <w:r>
        <w:t xml:space="preserve">Information conditions included in PPAs is available in Appendix 3. In 2021/22,</w:t>
      </w:r>
      <w:r>
        <w:t xml:space="preserve"> </w:t>
      </w:r>
      <w:r>
        <w:rPr>
          <w:b/>
        </w:rPr>
        <w:t xml:space="preserve">52.1%</w:t>
      </w:r>
      <w:r>
        <w:t xml:space="preserve"> </w:t>
      </w:r>
      <w:r>
        <w:t xml:space="preserve">of PPAs in Moray were amongst those aged 65 and over, and</w:t>
      </w:r>
      <w:r>
        <w:t xml:space="preserve"> </w:t>
      </w:r>
      <w:r>
        <w:rPr>
          <w:b/>
        </w:rPr>
        <w:t xml:space="preserve">47.9%</w:t>
      </w:r>
      <w:r>
        <w:t xml:space="preserve"> </w:t>
      </w:r>
      <w:r>
        <w:t xml:space="preserve">were amongst those aged under 65.</w:t>
      </w:r>
    </w:p>
    <w:p>
      <w:pPr>
        <w:pStyle w:val="Heading4"/>
      </w:pPr>
      <w:bookmarkStart w:id="56" w:name="figure-11-ppas-by-geographical-area"/>
      <w:bookmarkEnd w:id="56"/>
      <w:r>
        <w:t xml:space="preserve">Figure 11: PPAs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5"/>
      </w:pPr>
      <w:bookmarkStart w:id="58" w:name="page-break-5"/>
      <w:bookmarkEnd w:id="58"/>
      <w:r>
        <w:t xml:space="preserve">Page break</w:t>
      </w:r>
    </w:p>
    <w:p>
      <w:pPr>
        <w:pStyle w:val="Heading2"/>
      </w:pPr>
      <w:bookmarkStart w:id="59" w:name="hospital-care-mental-health-speciality"/>
      <w:bookmarkEnd w:id="59"/>
      <w:r>
        <w:t xml:space="preserve">Hospital Care (Mental Health Speciality)</w:t>
      </w:r>
    </w:p>
    <w:p>
      <w:pPr>
        <w:pStyle w:val="Heading3"/>
      </w:pPr>
      <w:bookmarkStart w:id="60" w:name="summary-1"/>
      <w:bookmarkEnd w:id="60"/>
      <w:r>
        <w:t xml:space="preserve">Summary</w:t>
      </w:r>
    </w:p>
    <w:p>
      <w:pPr>
        <w:pStyle w:val="FirstParagraph"/>
      </w:pPr>
      <w:r>
        <w:t xml:space="preserve">This section looks at mental health related unscheduled care indicators.</w:t>
      </w:r>
    </w:p>
    <w:p>
      <w:pPr>
        <w:pStyle w:val="BodyText"/>
      </w:pPr>
      <w:r>
        <w:rPr>
          <w:b/>
        </w:rPr>
        <w:t xml:space="preserve">For the most recent time periods available, Moray had: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194.1</w:t>
      </w:r>
      <w:r>
        <w:t xml:space="preserve"> </w:t>
      </w:r>
      <w:r>
        <w:t xml:space="preserve">psychiatric patient hospitalisations per 100,000, compared to 242.8 in Scotland</w:t>
      </w:r>
      <w:r>
        <w:rPr>
          <w:vertAlign w:val="superscript"/>
        </w:rPr>
        <w:t xml:space="preserve">4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9,848</w:t>
      </w:r>
      <w:r>
        <w:t xml:space="preserve"> </w:t>
      </w:r>
      <w:r>
        <w:t xml:space="preserve">unscheduled mental health specialty bed days per 100,000, compared to 18,672 in Scotland.</w:t>
      </w:r>
    </w:p>
    <w:p>
      <w:pPr>
        <w:pStyle w:val="FirstParagraph"/>
      </w:pPr>
    </w:p>
    <w:p>
      <w:pPr>
        <w:pStyle w:val="Heading3"/>
      </w:pPr>
      <w:bookmarkStart w:id="61" w:name="psychiatric-patient-hospitalisations"/>
      <w:bookmarkEnd w:id="61"/>
      <w:r>
        <w:t xml:space="preserve">Psychiatric patient hospitalisations</w:t>
      </w:r>
    </w:p>
    <w:p>
      <w:pPr>
        <w:pStyle w:val="Heading4"/>
      </w:pPr>
      <w:bookmarkStart w:id="62" w:name="figure-12-psychiatric-patient-hospitalisations-by-geographical-area"/>
      <w:bookmarkEnd w:id="62"/>
      <w:r>
        <w:t xml:space="preserve">Figure 12: Psychiatric patient hospitalisations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4" w:name="page-break-6"/>
      <w:bookmarkEnd w:id="64"/>
      <w:r>
        <w:t xml:space="preserve">Page break</w:t>
      </w:r>
    </w:p>
    <w:p>
      <w:pPr>
        <w:pStyle w:val="Heading3"/>
      </w:pPr>
      <w:bookmarkStart w:id="65" w:name="unscheduled-mental-health-specialty-bed-days"/>
      <w:bookmarkEnd w:id="65"/>
      <w:r>
        <w:t xml:space="preserve">Unscheduled Mental Health Specialty Bed Days</w:t>
      </w:r>
    </w:p>
    <w:p>
      <w:pPr>
        <w:pStyle w:val="Heading4"/>
      </w:pPr>
      <w:bookmarkStart w:id="66" w:name="figure-13-unscheduled-mental-health-specialty-bed-days-by-geographical-area"/>
      <w:bookmarkEnd w:id="66"/>
      <w:r>
        <w:t xml:space="preserve">Figure 13: Unscheduled mental health specialty bed days by geographical area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8" w:name="figure-14-unscheduled-mental-health-specialty-bed-days-by-age-group"/>
      <w:bookmarkEnd w:id="68"/>
      <w:r>
        <w:t xml:space="preserve">Figure 14: Unscheduled mental health specialty bed days by age group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3E4" w:rsidRPr="009023E4" w:rsidSect="009023E4">
      <w:headerReference w:type="default" r:id="rId8"/>
      <w:footerReference w:type="default" r:id="rId9"/>
      <w:footerReference w:type="first" r:id="rId10"/>
      <w:type w:val="continuous"/>
      <w:pgSz w:w="11906" w:h="16838"/>
      <w:pgMar w:top="1418" w:right="1134" w:bottom="1134" w:left="1134" w:header="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ae7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e37c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3358B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3358B"/>
    </w:rPr>
  </w:style>
  <w:style w:type="paragraph" w:styleId="Heading5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eastAsiaTheme="majorEastAsia" w:cstheme="majorBidi"/>
      <w:b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eastAsiaTheme="majorEastAsia" w:cstheme="majorBidi"/>
      <w:i/>
      <w:iCs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eastAsiaTheme="majorEastAsia" w:cstheme="majorBidi"/>
      <w:b/>
      <w:iCs/>
      <w:color w:val="43358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5641"/>
    <w:rPr>
      <w:rFonts w:ascii="Arial" w:eastAsiaTheme="majorEastAsia" w:hAnsi="Arial" w:cstheme="majorBidi"/>
      <w:b/>
      <w:bCs/>
      <w:color w:val="43358B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5641"/>
    <w:rPr>
      <w:rFonts w:ascii="Arial" w:eastAsiaTheme="majorEastAsia" w:hAnsi="Arial" w:cstheme="majorBidi"/>
      <w:b/>
      <w:bCs/>
      <w:iCs/>
      <w:color w:val="43358B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03B72"/>
    <w:rPr>
      <w:rFonts w:ascii="Arial" w:eastAsiaTheme="majorEastAsia" w:hAnsi="Arial" w:cstheme="majorBidi"/>
      <w:b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color w:val="FFFFFF" w:themeColor="background1"/>
        <w:sz w:val="24"/>
      </w:rPr>
      <w:tblPr/>
      <w:tcPr>
        <w:shd w:val="clear" w:color="auto" w:fill="43358B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53"/>
    <w:rPr>
      <w:rFonts w:ascii="Arial" w:eastAsiaTheme="majorEastAsia" w:hAnsi="Arial" w:cstheme="majorBidi"/>
      <w:i/>
      <w:iCs/>
      <w:sz w:val="20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type="character" w:customStyle="1" w:styleId="Heading4pgbrkCha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type="table" w:customStyle="1" w:styleId="ISDPubsTables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43358B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585641"/>
    <w:rPr>
      <w:rFonts w:ascii="Arial" w:eastAsiaTheme="majorEastAsia" w:hAnsi="Arial" w:cstheme="majorBidi"/>
      <w:b/>
      <w:iCs/>
      <w:color w:val="43358B"/>
      <w:sz w:val="32"/>
    </w:rPr>
  </w:style>
  <w:style w:type="paragraph" w:customStyle="1" w:styleId="SmallItalics">
    <w:name w:val="Small_Italics"/>
    <w:basedOn w:val="NormalNotes"/>
    <w:next w:val="NoSpacing"/>
    <w:link w:val="SmallItalicsChar"/>
    <w:rsid w:val="00233364"/>
    <w:rPr>
      <w:i/>
      <w:sz w:val="20"/>
    </w:rPr>
  </w:style>
  <w:style w:type="character" w:customStyle="1" w:styleId="NormalNotesChar">
    <w:name w:val="Normal_Notes Char"/>
    <w:basedOn w:val="DefaultParagraphFont"/>
    <w:link w:val="NormalNotes"/>
    <w:rsid w:val="00D1000C"/>
    <w:rPr>
      <w:rFonts w:ascii="Arial" w:hAnsi="Arial"/>
    </w:rPr>
  </w:style>
  <w:style w:type="character" w:customStyle="1" w:styleId="SmallItalicsCha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type="character" w:styleId="SubtleEmphasis">
    <w:name w:val="Subtle Emphasis"/>
    <w:basedOn w:val="DefaultParagraphFont"/>
    <w:uiPriority w:val="19"/>
    <w:qFormat/>
    <w:rsid w:val="00737140"/>
    <w:rPr>
      <w:i/>
      <w:iCs/>
      <w:color w:val="404040" w:themeColor="text1" w:themeTint="BF"/>
      <w:sz w:val="20"/>
    </w:rPr>
  </w:style>
  <w:style w:type="paragraph" w:customStyle="1" w:styleId="PublicationTitle">
    <w:name w:val="Publication Title"/>
    <w:basedOn w:val="Normal"/>
    <w:autoRedefine/>
    <w:qFormat/>
    <w:rsid w:val="00822EC5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2023-02-17T11:45:57Z</dcterms:created>
  <dcterms:modified xsi:type="dcterms:W3CDTF">2023-02-17T11:45:57Z</dcterms:modified>
</cp:coreProperties>
</file>