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8D9F" w14:textId="3469835C" w:rsidR="00D56D12" w:rsidRDefault="00BA43C8">
      <w:pPr>
        <w:rPr>
          <w:sz w:val="32"/>
          <w:szCs w:val="32"/>
        </w:rPr>
      </w:pPr>
      <w:r>
        <w:rPr>
          <w:sz w:val="32"/>
          <w:szCs w:val="32"/>
        </w:rPr>
        <w:t>Lookup dictionary</w:t>
      </w:r>
    </w:p>
    <w:p w14:paraId="2E3AB3E8" w14:textId="09084B58" w:rsidR="00BA43C8" w:rsidRDefault="007C5D96">
      <w:pPr>
        <w:rPr>
          <w:sz w:val="32"/>
          <w:szCs w:val="32"/>
        </w:rPr>
      </w:pPr>
      <w:r>
        <w:rPr>
          <w:sz w:val="32"/>
          <w:szCs w:val="32"/>
        </w:rPr>
        <w:t xml:space="preserve">This data dictionary provides definitions for some of the variables in the QPI dashboard. </w:t>
      </w:r>
    </w:p>
    <w:p w14:paraId="75FCADE3" w14:textId="77777777" w:rsidR="007C5D96" w:rsidRDefault="007C5D96">
      <w:pPr>
        <w:rPr>
          <w:sz w:val="32"/>
          <w:szCs w:val="32"/>
        </w:rPr>
      </w:pPr>
    </w:p>
    <w:p w14:paraId="38F8EB80" w14:textId="7A16E33F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Cyear</w:t>
      </w:r>
    </w:p>
    <w:p w14:paraId="6392A2DD" w14:textId="71C879C1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The year which the data refers to. The start date of this year varies depending on the TSG. Some TSGs such as Breast a</w:t>
      </w:r>
      <w:r w:rsidR="00140596">
        <w:rPr>
          <w:sz w:val="32"/>
          <w:szCs w:val="32"/>
        </w:rPr>
        <w:t>re</w:t>
      </w:r>
      <w:r>
        <w:rPr>
          <w:sz w:val="32"/>
          <w:szCs w:val="32"/>
        </w:rPr>
        <w:t xml:space="preserve"> reported by calendar year. Other</w:t>
      </w:r>
      <w:r w:rsidR="00F27107">
        <w:rPr>
          <w:sz w:val="32"/>
          <w:szCs w:val="32"/>
        </w:rPr>
        <w:t xml:space="preserve"> TSGs cut off the years </w:t>
      </w:r>
      <w:r w:rsidR="00140596">
        <w:rPr>
          <w:sz w:val="32"/>
          <w:szCs w:val="32"/>
        </w:rPr>
        <w:t>from April to March</w:t>
      </w:r>
      <w:r w:rsidR="00F27107">
        <w:rPr>
          <w:sz w:val="32"/>
          <w:szCs w:val="32"/>
        </w:rPr>
        <w:t xml:space="preserve"> e.g. Colorectal</w:t>
      </w:r>
      <w:r w:rsidR="00140596">
        <w:rPr>
          <w:sz w:val="32"/>
          <w:szCs w:val="32"/>
        </w:rPr>
        <w:t xml:space="preserve">, and a third group run from September till October. </w:t>
      </w:r>
    </w:p>
    <w:p w14:paraId="44FE9069" w14:textId="77777777" w:rsidR="00F27107" w:rsidRDefault="00F27107">
      <w:pPr>
        <w:rPr>
          <w:sz w:val="32"/>
          <w:szCs w:val="32"/>
        </w:rPr>
      </w:pPr>
    </w:p>
    <w:p w14:paraId="1BC00241" w14:textId="2546B55A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Cancer</w:t>
      </w:r>
    </w:p>
    <w:p w14:paraId="5C0C7D70" w14:textId="0BA3BDE0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The TSG in question</w:t>
      </w:r>
    </w:p>
    <w:p w14:paraId="1ACF205E" w14:textId="77777777" w:rsidR="00F27107" w:rsidRDefault="00F27107">
      <w:pPr>
        <w:rPr>
          <w:sz w:val="32"/>
          <w:szCs w:val="32"/>
        </w:rPr>
      </w:pPr>
    </w:p>
    <w:p w14:paraId="1C446900" w14:textId="2BC7C9FE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</w:t>
      </w:r>
    </w:p>
    <w:p w14:paraId="35B31F5A" w14:textId="1B36235A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QPI name</w:t>
      </w:r>
    </w:p>
    <w:p w14:paraId="4D8A410E" w14:textId="77777777" w:rsidR="00F27107" w:rsidRDefault="00F27107">
      <w:pPr>
        <w:rPr>
          <w:sz w:val="32"/>
          <w:szCs w:val="32"/>
        </w:rPr>
      </w:pPr>
    </w:p>
    <w:p w14:paraId="63CC3C26" w14:textId="0643A16E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qpi_order</w:t>
      </w:r>
    </w:p>
    <w:p w14:paraId="3CF63C55" w14:textId="04DB41FC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>Number to denote what order the QPIs should be listed in.</w:t>
      </w:r>
    </w:p>
    <w:p w14:paraId="41157CF5" w14:textId="77777777" w:rsidR="00BA43C8" w:rsidRDefault="00BA43C8">
      <w:pPr>
        <w:rPr>
          <w:sz w:val="32"/>
          <w:szCs w:val="32"/>
        </w:rPr>
      </w:pPr>
    </w:p>
    <w:p w14:paraId="4EEAFF51" w14:textId="2FC8393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numerator1</w:t>
      </w:r>
    </w:p>
    <w:p w14:paraId="7CE91771" w14:textId="1FA44A67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Description of the numerator of the QPI. All individuals who are eligible for a QPI. Differentiated from the numerical value of the numerator by the ‘1’ at the end.</w:t>
      </w:r>
    </w:p>
    <w:p w14:paraId="2A3284B4" w14:textId="77777777" w:rsidR="00F27107" w:rsidRDefault="00F27107">
      <w:pPr>
        <w:rPr>
          <w:sz w:val="32"/>
          <w:szCs w:val="32"/>
        </w:rPr>
      </w:pPr>
    </w:p>
    <w:p w14:paraId="3D7D27C5" w14:textId="08CF134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denominator1</w:t>
      </w:r>
    </w:p>
    <w:p w14:paraId="6E786038" w14:textId="14BAFFCF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Description of the denominator of the QPI. The number of individuals who are eligible for a QPI who have met it; had a certain treatment/outcome etc. Differentiated from the numerical value of the denominator by the ‘1’ at the end.</w:t>
      </w:r>
    </w:p>
    <w:p w14:paraId="0042B85B" w14:textId="77777777" w:rsidR="00F27107" w:rsidRDefault="00F27107">
      <w:pPr>
        <w:rPr>
          <w:sz w:val="32"/>
          <w:szCs w:val="32"/>
        </w:rPr>
      </w:pPr>
    </w:p>
    <w:p w14:paraId="57E39A78" w14:textId="237A733C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exclusions1</w:t>
      </w:r>
    </w:p>
    <w:p w14:paraId="0E0BE669" w14:textId="6C324681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 xml:space="preserve">Description of the exclusions for a QPI. Some individuals </w:t>
      </w:r>
      <w:r w:rsidR="00C73896">
        <w:rPr>
          <w:sz w:val="32"/>
          <w:szCs w:val="32"/>
        </w:rPr>
        <w:t>would otherwise be eligible for a QPI were it not for a specific criteria for exclusion. Differentiated from the numerical value of the exclusion by the ‘1’ at the end.</w:t>
      </w:r>
    </w:p>
    <w:p w14:paraId="3ECA67BB" w14:textId="77777777" w:rsidR="00BA43C8" w:rsidRDefault="00BA43C8">
      <w:pPr>
        <w:rPr>
          <w:sz w:val="32"/>
          <w:szCs w:val="32"/>
        </w:rPr>
      </w:pPr>
    </w:p>
    <w:p w14:paraId="2018C853" w14:textId="374804D5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current_target</w:t>
      </w:r>
    </w:p>
    <w:p w14:paraId="2DF36C92" w14:textId="4EE781F0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The target level of performance for this QPI</w:t>
      </w:r>
    </w:p>
    <w:p w14:paraId="08888F12" w14:textId="77777777" w:rsidR="00C73896" w:rsidRDefault="00C73896">
      <w:pPr>
        <w:rPr>
          <w:sz w:val="32"/>
          <w:szCs w:val="32"/>
        </w:rPr>
      </w:pPr>
    </w:p>
    <w:p w14:paraId="791C5742" w14:textId="04D81EB0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target_label</w:t>
      </w:r>
    </w:p>
    <w:p w14:paraId="5760F942" w14:textId="74E9FDA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>Has the same numerical value as current_target but is a character string with %/&lt; symbols.</w:t>
      </w:r>
    </w:p>
    <w:p w14:paraId="03DEFEB5" w14:textId="77777777" w:rsidR="00BA43C8" w:rsidRDefault="00BA43C8">
      <w:pPr>
        <w:rPr>
          <w:sz w:val="32"/>
          <w:szCs w:val="32"/>
        </w:rPr>
      </w:pPr>
    </w:p>
    <w:p w14:paraId="11242AF8" w14:textId="57661A18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direction</w:t>
      </w:r>
    </w:p>
    <w:p w14:paraId="4897A5C8" w14:textId="15F85B6F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A flag describing whether the ideal value for this QPI is 0% or 100%. This is used to calculate whether a QPI has been met or not.</w:t>
      </w:r>
    </w:p>
    <w:p w14:paraId="59BC5B0F" w14:textId="77777777" w:rsidR="00C73896" w:rsidRDefault="00C73896">
      <w:pPr>
        <w:rPr>
          <w:sz w:val="32"/>
          <w:szCs w:val="32"/>
        </w:rPr>
      </w:pPr>
    </w:p>
    <w:p w14:paraId="66930717" w14:textId="167ADAEB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qpi_label_short</w:t>
      </w:r>
    </w:p>
    <w:p w14:paraId="52070278" w14:textId="1AA4AED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>A short label for the QPI used in some places in the dashboard.</w:t>
      </w:r>
    </w:p>
    <w:p w14:paraId="731339F0" w14:textId="77777777" w:rsidR="00BA43C8" w:rsidRDefault="00BA43C8">
      <w:pPr>
        <w:rPr>
          <w:sz w:val="32"/>
          <w:szCs w:val="32"/>
        </w:rPr>
      </w:pPr>
    </w:p>
    <w:p w14:paraId="5140DB25" w14:textId="555C1798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previous_target</w:t>
      </w:r>
    </w:p>
    <w:p w14:paraId="6D40B0D5" w14:textId="6BF593E2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 used</w:t>
      </w:r>
      <w:r w:rsidR="002D06BC">
        <w:rPr>
          <w:sz w:val="32"/>
          <w:szCs w:val="32"/>
        </w:rPr>
        <w:t>.</w:t>
      </w:r>
    </w:p>
    <w:p w14:paraId="7DD1A327" w14:textId="56EDA5C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qpi_subtitle</w:t>
      </w:r>
    </w:p>
    <w:p w14:paraId="290FCDF3" w14:textId="210F8E94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Not used?</w:t>
      </w:r>
    </w:p>
    <w:p w14:paraId="4B1FCB38" w14:textId="77777777" w:rsidR="00C73896" w:rsidRDefault="00C73896">
      <w:pPr>
        <w:rPr>
          <w:sz w:val="32"/>
          <w:szCs w:val="32"/>
        </w:rPr>
      </w:pPr>
    </w:p>
    <w:p w14:paraId="35C4F3E7" w14:textId="4C0B39E3" w:rsidR="007C5D96" w:rsidRDefault="007C5D96">
      <w:pPr>
        <w:rPr>
          <w:sz w:val="32"/>
          <w:szCs w:val="32"/>
        </w:rPr>
      </w:pPr>
      <w:r>
        <w:rPr>
          <w:sz w:val="32"/>
          <w:szCs w:val="32"/>
        </w:rPr>
        <w:t>RAG_Status</w:t>
      </w:r>
    </w:p>
    <w:p w14:paraId="72FDFFC4" w14:textId="300F467E" w:rsidR="007C5D96" w:rsidRDefault="007C5D96">
      <w:pPr>
        <w:rPr>
          <w:sz w:val="32"/>
          <w:szCs w:val="32"/>
        </w:rPr>
      </w:pPr>
      <w:r>
        <w:rPr>
          <w:sz w:val="32"/>
          <w:szCs w:val="32"/>
        </w:rPr>
        <w:t xml:space="preserve">The RAG_Status (‘Red-Amber-Green status’) is a flag, encoding an indication of whether the target has been met or not met. ‘1’ represents success, the target has been met. Other values ‘2’ and ‘3’. </w:t>
      </w:r>
      <w:r w:rsidR="00574B3B">
        <w:rPr>
          <w:sz w:val="32"/>
          <w:szCs w:val="32"/>
        </w:rPr>
        <w:t>The algorithm used in hb_hosp_qpi.R to set the value is represented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433"/>
        <w:gridCol w:w="2075"/>
      </w:tblGrid>
      <w:tr w:rsidR="00574B3B" w14:paraId="44A0B8F2" w14:textId="77777777" w:rsidTr="00574B3B">
        <w:tc>
          <w:tcPr>
            <w:tcW w:w="2254" w:type="dxa"/>
          </w:tcPr>
          <w:p w14:paraId="19A34817" w14:textId="35A4FC04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Direction</w:t>
            </w:r>
          </w:p>
        </w:tc>
        <w:tc>
          <w:tcPr>
            <w:tcW w:w="2254" w:type="dxa"/>
          </w:tcPr>
          <w:p w14:paraId="281147FD" w14:textId="5E697E79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 Performance comparison</w:t>
            </w:r>
          </w:p>
        </w:tc>
        <w:tc>
          <w:tcPr>
            <w:tcW w:w="2433" w:type="dxa"/>
          </w:tcPr>
          <w:p w14:paraId="3A038024" w14:textId="0092094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Other condition</w:t>
            </w:r>
          </w:p>
        </w:tc>
        <w:tc>
          <w:tcPr>
            <w:tcW w:w="2075" w:type="dxa"/>
          </w:tcPr>
          <w:p w14:paraId="3357A6A4" w14:textId="5C682BC3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574B3B" w14:paraId="28576B27" w14:textId="77777777" w:rsidTr="00574B3B">
        <w:tc>
          <w:tcPr>
            <w:tcW w:w="2254" w:type="dxa"/>
          </w:tcPr>
          <w:p w14:paraId="64E3EDCF" w14:textId="153FDC7D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 (‘high’)</w:t>
            </w:r>
          </w:p>
        </w:tc>
        <w:tc>
          <w:tcPr>
            <w:tcW w:w="2254" w:type="dxa"/>
          </w:tcPr>
          <w:p w14:paraId="17270C7F" w14:textId="43F0F34B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&gt;= target</w:t>
            </w:r>
          </w:p>
        </w:tc>
        <w:tc>
          <w:tcPr>
            <w:tcW w:w="2433" w:type="dxa"/>
          </w:tcPr>
          <w:p w14:paraId="501725FF" w14:textId="57696EE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075" w:type="dxa"/>
          </w:tcPr>
          <w:p w14:paraId="23199AE1" w14:textId="6ABB5A1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ie success, ‘target met’</w:t>
            </w:r>
          </w:p>
        </w:tc>
      </w:tr>
      <w:tr w:rsidR="00574B3B" w14:paraId="4B604185" w14:textId="77777777" w:rsidTr="00574B3B">
        <w:tc>
          <w:tcPr>
            <w:tcW w:w="2254" w:type="dxa"/>
          </w:tcPr>
          <w:p w14:paraId="3CB68099" w14:textId="4DFA6A78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2254" w:type="dxa"/>
          </w:tcPr>
          <w:p w14:paraId="407047B9" w14:textId="0460208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 0</w:t>
            </w:r>
          </w:p>
        </w:tc>
        <w:tc>
          <w:tcPr>
            <w:tcW w:w="2433" w:type="dxa"/>
          </w:tcPr>
          <w:p w14:paraId="2E7C4B64" w14:textId="0A0B220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&lt; target</w:t>
            </w:r>
          </w:p>
        </w:tc>
        <w:tc>
          <w:tcPr>
            <w:tcW w:w="2075" w:type="dxa"/>
          </w:tcPr>
          <w:p w14:paraId="7165043B" w14:textId="70188E86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ie failed ‘target not met’</w:t>
            </w:r>
          </w:p>
        </w:tc>
      </w:tr>
      <w:tr w:rsidR="00574B3B" w14:paraId="7AEA6689" w14:textId="77777777" w:rsidTr="00574B3B">
        <w:tc>
          <w:tcPr>
            <w:tcW w:w="2254" w:type="dxa"/>
          </w:tcPr>
          <w:p w14:paraId="46BE6F58" w14:textId="1AD36D3D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2254" w:type="dxa"/>
          </w:tcPr>
          <w:p w14:paraId="12C26F9E" w14:textId="786C135F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==0</w:t>
            </w:r>
          </w:p>
        </w:tc>
        <w:tc>
          <w:tcPr>
            <w:tcW w:w="2433" w:type="dxa"/>
          </w:tcPr>
          <w:p w14:paraId="4840C269" w14:textId="5B3F57D4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Denominator &lt;=0</w:t>
            </w:r>
          </w:p>
        </w:tc>
        <w:tc>
          <w:tcPr>
            <w:tcW w:w="2075" w:type="dxa"/>
          </w:tcPr>
          <w:p w14:paraId="776F10F4" w14:textId="4866F878" w:rsidR="00574B3B" w:rsidRDefault="00574B3B">
            <w:pPr>
              <w:rPr>
                <w:sz w:val="32"/>
                <w:szCs w:val="32"/>
              </w:rPr>
            </w:pPr>
            <w:commentRangeStart w:id="0"/>
            <w:r>
              <w:rPr>
                <w:sz w:val="32"/>
                <w:szCs w:val="32"/>
              </w:rPr>
              <w:t>3 ie not applicable</w:t>
            </w:r>
            <w:commentRangeEnd w:id="0"/>
            <w:r w:rsidR="00461D9D">
              <w:rPr>
                <w:rStyle w:val="CommentReference"/>
              </w:rPr>
              <w:commentReference w:id="0"/>
            </w:r>
          </w:p>
        </w:tc>
      </w:tr>
      <w:tr w:rsidR="00574B3B" w14:paraId="7A8F416E" w14:textId="77777777" w:rsidTr="00574B3B">
        <w:tc>
          <w:tcPr>
            <w:tcW w:w="2254" w:type="dxa"/>
          </w:tcPr>
          <w:p w14:paraId="0D6C8664" w14:textId="3C12895D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2254" w:type="dxa"/>
          </w:tcPr>
          <w:p w14:paraId="176C5E1B" w14:textId="65301866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==0</w:t>
            </w:r>
          </w:p>
        </w:tc>
        <w:tc>
          <w:tcPr>
            <w:tcW w:w="2433" w:type="dxa"/>
          </w:tcPr>
          <w:p w14:paraId="3362F8FE" w14:textId="4854CDE8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Denominator &gt; 0</w:t>
            </w:r>
          </w:p>
        </w:tc>
        <w:tc>
          <w:tcPr>
            <w:tcW w:w="2075" w:type="dxa"/>
          </w:tcPr>
          <w:p w14:paraId="76F6F12D" w14:textId="766D1135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ie failed</w:t>
            </w:r>
          </w:p>
        </w:tc>
      </w:tr>
      <w:tr w:rsidR="00574B3B" w14:paraId="0BB57A60" w14:textId="77777777" w:rsidTr="00574B3B">
        <w:tc>
          <w:tcPr>
            <w:tcW w:w="2254" w:type="dxa"/>
          </w:tcPr>
          <w:p w14:paraId="64CE235A" w14:textId="67026C6F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 (‘low’ – must be below a target percentage)</w:t>
            </w:r>
          </w:p>
        </w:tc>
        <w:tc>
          <w:tcPr>
            <w:tcW w:w="2254" w:type="dxa"/>
          </w:tcPr>
          <w:p w14:paraId="532F206A" w14:textId="3CDA89D2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&gt;0</w:t>
            </w:r>
          </w:p>
        </w:tc>
        <w:tc>
          <w:tcPr>
            <w:tcW w:w="2433" w:type="dxa"/>
          </w:tcPr>
          <w:p w14:paraId="51FB71DA" w14:textId="378CC6BA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&lt;= target</w:t>
            </w:r>
          </w:p>
        </w:tc>
        <w:tc>
          <w:tcPr>
            <w:tcW w:w="2075" w:type="dxa"/>
          </w:tcPr>
          <w:p w14:paraId="364B8EE3" w14:textId="5FA0C89D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ie success ‘target met’</w:t>
            </w:r>
          </w:p>
        </w:tc>
      </w:tr>
      <w:tr w:rsidR="00574B3B" w14:paraId="392114A3" w14:textId="77777777" w:rsidTr="00574B3B">
        <w:tc>
          <w:tcPr>
            <w:tcW w:w="2254" w:type="dxa"/>
          </w:tcPr>
          <w:p w14:paraId="4C247B88" w14:textId="6306CD24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2254" w:type="dxa"/>
          </w:tcPr>
          <w:p w14:paraId="2EA3F543" w14:textId="6634F1AE" w:rsidR="00574B3B" w:rsidRDefault="008C1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</w:t>
            </w:r>
            <w:r w:rsidR="00461D9D">
              <w:rPr>
                <w:sz w:val="32"/>
                <w:szCs w:val="32"/>
              </w:rPr>
              <w:t xml:space="preserve"> target</w:t>
            </w:r>
          </w:p>
        </w:tc>
        <w:tc>
          <w:tcPr>
            <w:tcW w:w="2433" w:type="dxa"/>
          </w:tcPr>
          <w:p w14:paraId="6304D18C" w14:textId="13CBA4A9" w:rsidR="00574B3B" w:rsidRDefault="00461D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075" w:type="dxa"/>
          </w:tcPr>
          <w:p w14:paraId="4AE7C944" w14:textId="27B2AB18" w:rsidR="00574B3B" w:rsidRDefault="00461D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ie failed</w:t>
            </w:r>
          </w:p>
        </w:tc>
      </w:tr>
      <w:tr w:rsidR="00574B3B" w14:paraId="019373FB" w14:textId="77777777" w:rsidTr="00574B3B">
        <w:tc>
          <w:tcPr>
            <w:tcW w:w="2254" w:type="dxa"/>
          </w:tcPr>
          <w:p w14:paraId="361F8693" w14:textId="16F8D0B9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2254" w:type="dxa"/>
          </w:tcPr>
          <w:p w14:paraId="727A7C22" w14:textId="29E97852" w:rsidR="00574B3B" w:rsidRDefault="00461D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==0</w:t>
            </w:r>
          </w:p>
        </w:tc>
        <w:tc>
          <w:tcPr>
            <w:tcW w:w="2433" w:type="dxa"/>
          </w:tcPr>
          <w:p w14:paraId="5FF9102C" w14:textId="66BC275F" w:rsidR="00574B3B" w:rsidRDefault="00461D9D">
            <w:pPr>
              <w:rPr>
                <w:sz w:val="32"/>
                <w:szCs w:val="32"/>
              </w:rPr>
            </w:pPr>
            <w:commentRangeStart w:id="1"/>
            <w:r>
              <w:rPr>
                <w:sz w:val="32"/>
                <w:szCs w:val="32"/>
              </w:rPr>
              <w:t>Denominator &lt;=0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75" w:type="dxa"/>
          </w:tcPr>
          <w:p w14:paraId="70EE5082" w14:textId="23108D5C" w:rsidR="00574B3B" w:rsidRDefault="00461D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ie not applicable</w:t>
            </w:r>
          </w:p>
        </w:tc>
      </w:tr>
      <w:tr w:rsidR="00574B3B" w14:paraId="1F053267" w14:textId="77777777" w:rsidTr="00574B3B">
        <w:tc>
          <w:tcPr>
            <w:tcW w:w="2254" w:type="dxa"/>
          </w:tcPr>
          <w:p w14:paraId="45219060" w14:textId="626BF93C" w:rsidR="00574B3B" w:rsidRDefault="00574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2254" w:type="dxa"/>
          </w:tcPr>
          <w:p w14:paraId="33AC8094" w14:textId="4EA5A6CA" w:rsidR="00574B3B" w:rsidRDefault="003A2F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==0</w:t>
            </w:r>
          </w:p>
        </w:tc>
        <w:tc>
          <w:tcPr>
            <w:tcW w:w="2433" w:type="dxa"/>
          </w:tcPr>
          <w:p w14:paraId="7BCD6F1A" w14:textId="292D14C8" w:rsidR="00574B3B" w:rsidRDefault="003A2F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Denom &gt;0</w:t>
            </w:r>
          </w:p>
        </w:tc>
        <w:tc>
          <w:tcPr>
            <w:tcW w:w="2075" w:type="dxa"/>
          </w:tcPr>
          <w:p w14:paraId="132C2146" w14:textId="47B4522F" w:rsidR="00574B3B" w:rsidRDefault="003A2F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ie target met</w:t>
            </w:r>
          </w:p>
        </w:tc>
      </w:tr>
    </w:tbl>
    <w:p w14:paraId="64A14709" w14:textId="77777777" w:rsidR="00574B3B" w:rsidRDefault="00574B3B">
      <w:pPr>
        <w:rPr>
          <w:sz w:val="32"/>
          <w:szCs w:val="32"/>
        </w:rPr>
      </w:pPr>
    </w:p>
    <w:p w14:paraId="739A6475" w14:textId="77777777" w:rsidR="007C5D96" w:rsidRDefault="007C5D96">
      <w:pPr>
        <w:rPr>
          <w:sz w:val="32"/>
          <w:szCs w:val="32"/>
        </w:rPr>
      </w:pPr>
    </w:p>
    <w:p w14:paraId="23AB1DC9" w14:textId="53D1F9FF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SurgDiag</w:t>
      </w:r>
    </w:p>
    <w:p w14:paraId="0A92B067" w14:textId="0F6D55D2" w:rsidR="00C73896" w:rsidRP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Whether this is a surgical QPI</w:t>
      </w:r>
      <w:r w:rsidR="000E1E8F">
        <w:rPr>
          <w:sz w:val="32"/>
          <w:szCs w:val="32"/>
        </w:rPr>
        <w:t xml:space="preserve"> or not</w:t>
      </w:r>
      <w:r>
        <w:rPr>
          <w:sz w:val="32"/>
          <w:szCs w:val="32"/>
        </w:rPr>
        <w:t>.</w:t>
      </w:r>
    </w:p>
    <w:sectPr w:rsidR="00C73896" w:rsidRPr="00BA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uline Ward" w:date="2024-11-19T09:13:00Z" w:initials="PW">
    <w:p w14:paraId="4D0BC841" w14:textId="77777777" w:rsidR="00461D9D" w:rsidRDefault="00461D9D" w:rsidP="00461D9D">
      <w:pPr>
        <w:pStyle w:val="CommentText"/>
      </w:pPr>
      <w:r>
        <w:rPr>
          <w:rStyle w:val="CommentReference"/>
        </w:rPr>
        <w:annotationRef/>
      </w:r>
      <w:r>
        <w:t xml:space="preserve">Suggest we change this to equals zero, so that any denoms that are negative will bring up an ‘unknown’ value ie so we’ll know there’s a problem. </w:t>
      </w:r>
    </w:p>
  </w:comment>
  <w:comment w:id="1" w:author="Pauline Ward" w:date="2024-11-19T09:14:00Z" w:initials="PW">
    <w:p w14:paraId="3B0DDA2A" w14:textId="77777777" w:rsidR="00461D9D" w:rsidRDefault="00461D9D" w:rsidP="00461D9D">
      <w:pPr>
        <w:pStyle w:val="CommentText"/>
      </w:pPr>
      <w:r>
        <w:rPr>
          <w:rStyle w:val="CommentReference"/>
        </w:rPr>
        <w:annotationRef/>
      </w:r>
      <w:r>
        <w:t xml:space="preserve">As above, suggest we change this to denom equals zero, so that any cases where denom is less than zero will produce an ‘unknown’ value as the output.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0BC841" w15:done="0"/>
  <w15:commentEx w15:paraId="3B0DDA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E6F7D1" w16cex:dateUtc="2024-11-19T09:13:00Z"/>
  <w16cex:commentExtensible w16cex:durableId="0690ABD4" w16cex:dateUtc="2024-11-19T0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0BC841" w16cid:durableId="4FE6F7D1"/>
  <w16cid:commentId w16cid:paraId="3B0DDA2A" w16cid:durableId="0690AB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uline Ward">
    <w15:presenceInfo w15:providerId="AD" w15:userId="S::pauline.ward5@phs.scot::a69170d4-5d26-490b-88d1-23a4a1e920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C8"/>
    <w:rsid w:val="000E1E8F"/>
    <w:rsid w:val="00140596"/>
    <w:rsid w:val="00287DBE"/>
    <w:rsid w:val="002D06BC"/>
    <w:rsid w:val="003A2F4E"/>
    <w:rsid w:val="00461D9D"/>
    <w:rsid w:val="00574B3B"/>
    <w:rsid w:val="00710124"/>
    <w:rsid w:val="007C5D96"/>
    <w:rsid w:val="008C1311"/>
    <w:rsid w:val="00B9136E"/>
    <w:rsid w:val="00BA43C8"/>
    <w:rsid w:val="00BC0983"/>
    <w:rsid w:val="00C73896"/>
    <w:rsid w:val="00D56D12"/>
    <w:rsid w:val="00F2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CEC7"/>
  <w15:chartTrackingRefBased/>
  <w15:docId w15:val="{C9AE7CD7-470D-40C2-9BD3-30138AD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1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1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1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D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NHSS National Services Scotland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Morton</dc:creator>
  <cp:keywords/>
  <dc:description/>
  <cp:lastModifiedBy>Pauline Ward</cp:lastModifiedBy>
  <cp:revision>7</cp:revision>
  <dcterms:created xsi:type="dcterms:W3CDTF">2023-11-07T08:58:00Z</dcterms:created>
  <dcterms:modified xsi:type="dcterms:W3CDTF">2024-11-19T09:15:00Z</dcterms:modified>
</cp:coreProperties>
</file>