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666666"/>
          <w:sz w:val="20"/>
          <w:szCs w:val="20"/>
        </w:rPr>
        <w:t xml:space="preserve">Public Lands Institute</w:t>
      </w:r>
    </w:p>
    <w:p>
      <w:pPr>
        <w:pStyle w:val="Heading1"/>
        <w:spacing w:after="80" w:before="0"/>
      </w:pPr>
      <w:r>
        <w:rPr>
          <w:sz w:val="36"/>
          <w:szCs w:val="36"/>
        </w:rPr>
        <w:t xml:space="preserve">Gemini Fact-Check Audit — Review and Corrections</w:t>
      </w:r>
    </w:p>
    <w:p>
      <w:pPr>
        <w:spacing w:after="300"/>
      </w:pPr>
      <w:r>
        <w:rPr>
          <w:color w:val="666666"/>
          <w:sz w:val="20"/>
          <w:szCs w:val="20"/>
        </w:rPr>
        <w:t xml:space="preserve">July 4, 2026</w:t>
      </w:r>
    </w:p>
    <w:p>
      <w:pPr>
        <w:spacing w:after="160"/>
      </w:pPr>
      <w:r>
        <w:rPr>
          <w:b w:val="false"/>
          <w:bCs w:val="false"/>
          <w:i w:val="false"/>
          <w:iCs w:val="false"/>
        </w:rPr>
        <w:t xml:space="preserve">Gemini was asked to independently fact-check claims across the site database (sites.json) and the shadow-history bibliography. Each claim below was checked against the current database and, where it referenced a checkable primary source (a federal register notice, an agency web page, a treaty cession schedule), against that source directly. Four corrections were made. Everything else in Gemini's report either already matched the database or could not be independently confirmed and was left unchanged.</w:t>
      </w:r>
    </w:p>
    <w:p>
      <w:pPr>
        <w:pStyle w:val="Heading1"/>
      </w:pPr>
      <w:r>
        <w:t xml:space="preserve">Corrections Applied</w:t>
      </w:r>
    </w:p>
    <w:p>
      <w:pPr>
        <w:pStyle w:val="Heading2"/>
      </w:pPr>
      <w:r>
        <w:t xml:space="preserve">1. Glen Helen Nature Preserve (Greene County, OH)</w:t>
      </w:r>
    </w:p>
    <w:p>
      <w:pPr>
        <w:spacing w:after="60"/>
      </w:pPr>
      <w:r>
        <w:rPr>
          <w:b/>
          <w:bCs/>
          <w:sz w:val="20"/>
          <w:szCs w:val="20"/>
        </w:rPr>
        <w:t xml:space="preserve">Field: shadow_history</w:t>
      </w:r>
    </w:p>
    <w:p>
      <w:pPr>
        <w:spacing w:after="60"/>
      </w:pPr>
      <w:r>
        <w:rPr>
          <w:b/>
          <w:bCs/>
          <w:sz w:val="20"/>
          <w:szCs w:val="20"/>
        </w:rPr>
        <w:t xml:space="preserve">Before: </w:t>
      </w:r>
      <w:r>
        <w:rPr>
          <w:sz w:val="20"/>
          <w:szCs w:val="20"/>
        </w:rPr>
        <w:t xml:space="preserve">“Frank Van Wort partially excavated the Orators Mound within the preserve in 1953 to 1954, finding five skeletons (two adults, three infants) and placing seven skeletons along with artifacts in the Dayton Museum of Natural History…” — this wording implied a single excavation both found five skeletons and placed seven in the museum, an internal contradiction.</w:t>
      </w:r>
    </w:p>
    <w:p>
      <w:pPr>
        <w:spacing w:after="60"/>
      </w:pPr>
      <w:r>
        <w:rPr>
          <w:b/>
          <w:bCs/>
          <w:sz w:val="20"/>
          <w:szCs w:val="20"/>
        </w:rPr>
        <w:t xml:space="preserve">After: </w:t>
      </w:r>
      <w:r>
        <w:rPr>
          <w:sz w:val="20"/>
          <w:szCs w:val="20"/>
        </w:rPr>
        <w:t xml:space="preserve">Rewritten to attribute the two counts to the two separate excavations that actually produced them: Van Wort's unregulated 1953–1954 dig found five skeletons (interpreted as Adena); a distinct, more systematic 1971 Antioch College excavation under archaeologist Wolfgang Marschall exposed Van Wort's work, excavated roughly a third of the mound, and recovered the seven skeletons that were placed in the Dayton Museum of Natural History, concluding the mound was Hopewellian rather than Adena.</w:t>
      </w:r>
    </w:p>
    <w:p>
      <w:pPr>
        <w:spacing w:after="240"/>
      </w:pPr>
      <w:r>
        <w:rPr>
          <w:b/>
          <w:bCs/>
          <w:i/>
          <w:iCs/>
          <w:sz w:val="20"/>
          <w:szCs w:val="20"/>
        </w:rPr>
        <w:t xml:space="preserve">Source / reasoning: </w:t>
      </w:r>
      <w:r>
        <w:rPr>
          <w:i/>
          <w:iCs/>
          <w:sz w:val="20"/>
          <w:szCs w:val="20"/>
        </w:rPr>
        <w:t xml:space="preserve">Confirmed against the Wikipedia article for Orators Mound, which separately documents both excavations and their distinct skeleton counts. Gemini's claim was correct — the database had conflated two projects separated by 17 years.</w:t>
      </w:r>
    </w:p>
    <w:p>
      <w:pPr>
        <w:pStyle w:val="Heading2"/>
      </w:pPr>
      <w:r>
        <w:t xml:space="preserve">2. Mississippi Palisades State Park (Carroll County, IL)</w:t>
      </w:r>
    </w:p>
    <w:p>
      <w:pPr>
        <w:spacing w:after="60"/>
      </w:pPr>
      <w:r>
        <w:rPr>
          <w:b/>
          <w:bCs/>
          <w:sz w:val="20"/>
          <w:szCs w:val="20"/>
        </w:rPr>
        <w:t xml:space="preserve">Field: displacement_tenure</w:t>
      </w:r>
    </w:p>
    <w:p>
      <w:pPr>
        <w:spacing w:after="60"/>
      </w:pPr>
      <w:r>
        <w:rPr>
          <w:b/>
          <w:bCs/>
          <w:sz w:val="20"/>
          <w:szCs w:val="20"/>
        </w:rPr>
        <w:t xml:space="preserve">Before: </w:t>
      </w:r>
      <w:r>
        <w:rPr>
          <w:sz w:val="20"/>
          <w:szCs w:val="20"/>
        </w:rPr>
        <w:t xml:space="preserve">“…Sauk and Meskwaki ceded all Illinois lands east of the Mississippi following the Black Hawk War [Royce cession number for this Illinois east-bank cession unconfirmed; Cession 175 refers to the Iowa west-bank Black Hawk Purchase strip]…”</w:t>
      </w:r>
    </w:p>
    <w:p>
      <w:pPr>
        <w:spacing w:after="60"/>
      </w:pPr>
      <w:r>
        <w:rPr>
          <w:b/>
          <w:bCs/>
          <w:sz w:val="20"/>
          <w:szCs w:val="20"/>
        </w:rPr>
        <w:t xml:space="preserve">After: </w:t>
      </w:r>
      <w:r>
        <w:rPr>
          <w:sz w:val="20"/>
          <w:szCs w:val="20"/>
        </w:rPr>
        <w:t xml:space="preserve">“…(this Illinois east-bank tract falls within Royce Cession 50, the immense 1804 Treaty of St. Louis cession spanning northwestern Illinois, southwestern Wisconsin, and northeastern Missouri, re-confirmed under duress after the War of 1812; Cession 175 refers instead to the Iowa west-bank Black Hawk Purchase strip)…”</w:t>
      </w:r>
    </w:p>
    <w:p>
      <w:pPr>
        <w:spacing w:after="240"/>
      </w:pPr>
      <w:r>
        <w:rPr>
          <w:b/>
          <w:bCs/>
          <w:i/>
          <w:iCs/>
          <w:sz w:val="20"/>
          <w:szCs w:val="20"/>
        </w:rPr>
        <w:t xml:space="preserve">Source / reasoning: </w:t>
      </w:r>
      <w:r>
        <w:rPr>
          <w:i/>
          <w:iCs/>
          <w:sz w:val="20"/>
          <w:szCs w:val="20"/>
        </w:rPr>
        <w:t xml:space="preserve">Confirmed via digitreaties.org's entry for Cession 50 and multiple treaty references for the November 3, 1804 Treaty of St. Louis, which covers this exact geography. Gemini's citation was correct and resolves what the database had flagged as unconfirmed.</w:t>
      </w:r>
    </w:p>
    <w:p>
      <w:pPr>
        <w:pStyle w:val="Heading2"/>
      </w:pPr>
      <w:r>
        <w:t xml:space="preserve">3. Arches National Park (Grand County, UT)</w:t>
      </w:r>
    </w:p>
    <w:p>
      <w:pPr>
        <w:spacing w:after="60"/>
      </w:pPr>
      <w:r>
        <w:rPr>
          <w:b/>
          <w:bCs/>
          <w:sz w:val="20"/>
          <w:szCs w:val="20"/>
        </w:rPr>
        <w:t xml:space="preserve">Field: acreage</w:t>
      </w:r>
    </w:p>
    <w:p>
      <w:pPr>
        <w:spacing w:after="60"/>
      </w:pPr>
      <w:r>
        <w:rPr>
          <w:b/>
          <w:bCs/>
          <w:sz w:val="20"/>
          <w:szCs w:val="20"/>
        </w:rPr>
        <w:t xml:space="preserve">Before: </w:t>
      </w:r>
      <w:r>
        <w:rPr>
          <w:sz w:val="20"/>
          <w:szCs w:val="20"/>
        </w:rPr>
        <w:t xml:space="preserve">76,679</w:t>
      </w:r>
    </w:p>
    <w:p>
      <w:pPr>
        <w:spacing w:after="60"/>
      </w:pPr>
      <w:r>
        <w:rPr>
          <w:b/>
          <w:bCs/>
          <w:sz w:val="20"/>
          <w:szCs w:val="20"/>
        </w:rPr>
        <w:t xml:space="preserve">After: </w:t>
      </w:r>
      <w:r>
        <w:rPr>
          <w:sz w:val="20"/>
          <w:szCs w:val="20"/>
        </w:rPr>
        <w:t xml:space="preserve">76,519</w:t>
      </w:r>
    </w:p>
    <w:p>
      <w:pPr>
        <w:spacing w:after="240"/>
      </w:pPr>
      <w:r>
        <w:rPr>
          <w:b/>
          <w:bCs/>
          <w:i/>
          <w:iCs/>
          <w:sz w:val="20"/>
          <w:szCs w:val="20"/>
        </w:rPr>
        <w:t xml:space="preserve">Source / reasoning: </w:t>
      </w:r>
      <w:r>
        <w:rPr>
          <w:i/>
          <w:iCs/>
          <w:sz w:val="20"/>
          <w:szCs w:val="20"/>
        </w:rPr>
        <w:t xml:space="preserve">The NPS's own “Arches National Park Quick Facts” page (nps.gov/articles/arch-quick-facts.htm) states “Acreage: 76,519 acres or 119 square miles,” matching the NPS Biophysical Description / Geodiversity figure reflecting the 1999 Lost Spring Canyon addition. 76,679 and 76,680 appear in secondary sources (Wikipedia, tourism sites) but not on NPS's own current pages.</w:t>
      </w:r>
    </w:p>
    <w:p>
      <w:pPr>
        <w:pStyle w:val="Heading2"/>
      </w:pPr>
      <w:r>
        <w:t xml:space="preserve">4. Lathrop State Park (Huerfano County, CO) — flagged judgment call</w:t>
      </w:r>
    </w:p>
    <w:p>
      <w:pPr>
        <w:spacing w:after="60"/>
      </w:pPr>
      <w:r>
        <w:rPr>
          <w:b/>
          <w:bCs/>
          <w:sz w:val="20"/>
          <w:szCs w:val="20"/>
        </w:rPr>
        <w:t xml:space="preserve">Field: acreage</w:t>
      </w:r>
    </w:p>
    <w:p>
      <w:pPr>
        <w:spacing w:after="60"/>
      </w:pPr>
      <w:r>
        <w:rPr>
          <w:b/>
          <w:bCs/>
          <w:sz w:val="20"/>
          <w:szCs w:val="20"/>
        </w:rPr>
        <w:t xml:space="preserve">Before: </w:t>
      </w:r>
      <w:r>
        <w:rPr>
          <w:sz w:val="20"/>
          <w:szCs w:val="20"/>
        </w:rPr>
        <w:t xml:space="preserve">1,594</w:t>
      </w:r>
    </w:p>
    <w:p>
      <w:pPr>
        <w:spacing w:after="60"/>
      </w:pPr>
      <w:r>
        <w:rPr>
          <w:b/>
          <w:bCs/>
          <w:sz w:val="20"/>
          <w:szCs w:val="20"/>
        </w:rPr>
        <w:t xml:space="preserve">After: </w:t>
      </w:r>
      <w:r>
        <w:rPr>
          <w:sz w:val="20"/>
          <w:szCs w:val="20"/>
        </w:rPr>
        <w:t xml:space="preserve">1,451</w:t>
      </w:r>
    </w:p>
    <w:p>
      <w:pPr>
        <w:spacing w:after="240"/>
      </w:pPr>
      <w:r>
        <w:rPr>
          <w:b/>
          <w:bCs/>
          <w:i/>
          <w:iCs/>
          <w:sz w:val="20"/>
          <w:szCs w:val="20"/>
        </w:rPr>
        <w:t xml:space="preserve">Source / reasoning: </w:t>
      </w:r>
      <w:r>
        <w:rPr>
          <w:i/>
          <w:iCs/>
          <w:sz w:val="20"/>
          <w:szCs w:val="20"/>
        </w:rPr>
        <w:t xml:space="preserve">Colorado Parks and Wildlife's own park page states both figures in different places: “1,451 acres” in the key-statistics summary at the top of the page, and “1,594 acres” in the geology section further down — an inconsistency on CPW's side, not something Gemini invented. I matched the primary headline figure for consistency with how the Arches correction above was made (agency's top-line stat over a secondary technical mention). This is a closer call than the other three: if you specifically chose 1,594 when the site was added because it better represents the full legislative boundary (including the Walsen Ridge dike and golf course lease), say so and I'll revert it.</w:t>
      </w:r>
    </w:p>
    <w:p>
      <w:r>
        <w:br w:type="page"/>
      </w:r>
    </w:p>
    <w:p>
      <w:pPr>
        <w:pStyle w:val="Heading1"/>
      </w:pPr>
      <w:r>
        <w:t xml:space="preserve">Claims Verified Correct — No Changes Needed</w:t>
      </w:r>
    </w:p>
    <w:p>
      <w:pPr>
        <w:spacing w:after="160"/>
      </w:pPr>
      <w:r>
        <w:rPr>
          <w:b w:val="false"/>
          <w:bCs w:val="false"/>
          <w:i w:val="false"/>
          <w:iCs w:val="false"/>
        </w:rPr>
        <w:t xml:space="preserve">The remainder of Gemini's report either restated facts already in the database accurately, or offered claims that checked out against primary sources without requiring any edit:</w:t>
      </w:r>
    </w:p>
    <w:p>
      <w:pPr>
        <w:pStyle w:val="ListParagraph"/>
        <w:numPr>
          <w:ilvl w:val="0"/>
          <w:numId w:val="2"/>
        </w:numPr>
        <w:spacing w:after="80"/>
      </w:pPr>
      <w:r>
        <w:t xml:space="preserve">Pinckney Island NWR acreage (4,053) and 2026 wood stork delisting — confirmed against Federal Register document 2026-02588 (91 FR 5826), effective March 12, 2026. Already stated correctly in endangered_species.</w:t>
      </w:r>
    </w:p>
    <w:p>
      <w:pPr>
        <w:pStyle w:val="ListParagraph"/>
        <w:numPr>
          <w:ilvl w:val="0"/>
          <w:numId w:val="2"/>
        </w:numPr>
        <w:spacing w:after="80"/>
      </w:pPr>
      <w:r>
        <w:t xml:space="preserve">Yellowstone acreage (2,219,791, matching the NPS Geodiversity Atlas figure), Cuyahoga Valley acreage (32,950, matching NPS press kits), and Chisholm Creek Park acreage (282, matching Great Plains Nature Center) — all already correct; the higher/lower figures Gemini cited as alternates come from secondary sources, not the managing agency.</w:t>
      </w:r>
    </w:p>
    <w:p>
      <w:pPr>
        <w:pStyle w:val="ListParagraph"/>
        <w:numPr>
          <w:ilvl w:val="0"/>
          <w:numId w:val="2"/>
        </w:numPr>
        <w:spacing w:after="80"/>
      </w:pPr>
      <w:r>
        <w:t xml:space="preserve">Bender Mountain Nature Preserve — the 73-acre Sisters of Charity donation figure already in the database is the legally recorded deed acreage; the “75 acres” figure Gemini flagged as a discrepancy comes from the Western Wildlife Corridor's own newsletter, not a database error.</w:t>
      </w:r>
    </w:p>
    <w:p>
      <w:pPr>
        <w:pStyle w:val="ListParagraph"/>
        <w:numPr>
          <w:ilvl w:val="0"/>
          <w:numId w:val="2"/>
        </w:numPr>
        <w:spacing w:after="80"/>
      </w:pPr>
      <w:r>
        <w:t xml:space="preserve">Mounds State Park, Serpent Mound / Arc of Appalachia, and Mound City / Hopewell Culture National Historical Park — NAGPRA repatriation status is already correctly recorded as unconfirmed/pending at all three sites.</w:t>
      </w:r>
    </w:p>
    <w:p>
      <w:pPr>
        <w:pStyle w:val="ListParagraph"/>
        <w:numPr>
          <w:ilvl w:val="0"/>
          <w:numId w:val="2"/>
        </w:numPr>
        <w:spacing w:after="80"/>
      </w:pPr>
      <w:r>
        <w:t xml:space="preserve">Krejci Dump, Fernald Preserve (including the Paddys Run losing-stream hydrology), Mississippi Palisades' Savanna Army Depot note, Arches' Moab UMTRA note, Black Hills' Gilt Edge Mine note, Badlands' bombing-range note, and Ford Marsh Unit — all contamination figures, dates, and dollar amounts Gemini cited already match the existing shadow_history text.</w:t>
      </w:r>
    </w:p>
    <w:p>
      <w:pPr>
        <w:pStyle w:val="ListParagraph"/>
        <w:numPr>
          <w:ilvl w:val="0"/>
          <w:numId w:val="2"/>
        </w:numPr>
        <w:spacing w:after="80"/>
      </w:pPr>
      <w:r>
        <w:t xml:space="preserve">CCC segregation history at Palo Duro Canyon (Companies 2875/2876), Hocking Hills (Companies 505/526), and Mount Airy Forest (Company 1505-C), plus Clifty Falls' Madison State Hospital patient-labor history and the enslaved-labor histories at Mammoth Cave, Big Bone Lick, and Dinsmore Woods — all already documented in the database consistent with Gemini's account.</w:t>
      </w:r>
    </w:p>
    <w:p>
      <w:pPr>
        <w:pStyle w:val="Heading1"/>
      </w:pPr>
      <w:r>
        <w:t xml:space="preserve">Reviewed but Not Applied</w:t>
      </w:r>
    </w:p>
    <w:p>
      <w:pPr>
        <w:spacing w:after="160"/>
      </w:pPr>
      <w:r>
        <w:rPr>
          <w:b w:val="false"/>
          <w:bCs w:val="false"/>
          <w:i w:val="false"/>
          <w:iCs w:val="false"/>
        </w:rPr>
        <w:t xml:space="preserve">Gemini added that the Squier and Davis pipe collection from Mound City was “sold to a British collector in 1864 and transferred to the British Museum in 1931.” The database already correctly notes the collection went to the British Museum, but I could not independently confirm those two specific dates against a primary source in the time available, so I left the existing (less specific but accurate) wording in place rather than add unverified detail.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D2B"/>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4B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2026-07-05T02:21:12.343Z</dcterms:created>
  <dcterms:modified xsi:type="dcterms:W3CDTF">2026-07-05T02:21:12.344Z</dcterms:modified>
</cp:coreProperties>
</file>

<file path=docProps/custom.xml><?xml version="1.0" encoding="utf-8"?>
<Properties xmlns="http://schemas.openxmlformats.org/officeDocument/2006/custom-properties" xmlns:vt="http://schemas.openxmlformats.org/officeDocument/2006/docPropsVTypes"/>
</file>