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6E45B" w14:textId="77777777" w:rsidR="003633BD" w:rsidRPr="003633BD" w:rsidRDefault="003633BD" w:rsidP="003633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33BD">
        <w:rPr>
          <w:rFonts w:ascii="Times New Roman" w:eastAsia="Times New Roman" w:hAnsi="Times New Roman" w:cs="Times New Roman"/>
          <w:b/>
          <w:bCs/>
          <w:kern w:val="36"/>
          <w:sz w:val="48"/>
          <w:szCs w:val="48"/>
          <w14:ligatures w14:val="none"/>
        </w:rPr>
        <w:t>Integrating Historical and Ecological Narratives in Public Land Documentation</w:t>
      </w:r>
    </w:p>
    <w:p w14:paraId="69D34EDF" w14:textId="77777777" w:rsidR="003633BD" w:rsidRPr="003633BD" w:rsidRDefault="003633BD" w:rsidP="003633BD">
      <w:p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kern w:val="0"/>
          <w14:ligatures w14:val="none"/>
        </w:rPr>
        <w:t>Incorporating historical context into the documentation of natural areas provides a more comprehensive understanding of how human activity and ecological processes intersect. This document outlines the rationale for including historical data and provides examples of how to categorize sites with significant past usage.</w:t>
      </w:r>
    </w:p>
    <w:p w14:paraId="6A85BCB7" w14:textId="77777777" w:rsidR="003633BD" w:rsidRPr="003633BD" w:rsidRDefault="003633BD" w:rsidP="003633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33BD">
        <w:rPr>
          <w:rFonts w:ascii="Times New Roman" w:eastAsia="Times New Roman" w:hAnsi="Times New Roman" w:cs="Times New Roman"/>
          <w:b/>
          <w:bCs/>
          <w:kern w:val="0"/>
          <w:sz w:val="36"/>
          <w:szCs w:val="36"/>
          <w14:ligatures w14:val="none"/>
        </w:rPr>
        <w:t>1. The Rationale for Historical Integration</w:t>
      </w:r>
    </w:p>
    <w:p w14:paraId="27A5B46A" w14:textId="77777777" w:rsidR="003633BD" w:rsidRPr="003633BD" w:rsidRDefault="003633BD" w:rsidP="003633BD">
      <w:p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kern w:val="0"/>
          <w14:ligatures w14:val="none"/>
        </w:rPr>
        <w:t>Natural landscapes are rarely "pristine" in the sense of being untouched by human history. Many preserves exist in their current state precisely because of their historical use. Understanding this history is vital for:</w:t>
      </w:r>
    </w:p>
    <w:p w14:paraId="1B070A9F" w14:textId="77777777" w:rsidR="003633BD" w:rsidRPr="003633BD" w:rsidRDefault="003633BD" w:rsidP="003633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Ecological Context:</w:t>
      </w:r>
      <w:r w:rsidRPr="003633BD">
        <w:rPr>
          <w:rFonts w:ascii="Times New Roman" w:eastAsia="Times New Roman" w:hAnsi="Times New Roman" w:cs="Times New Roman"/>
          <w:kern w:val="0"/>
          <w14:ligatures w14:val="none"/>
        </w:rPr>
        <w:t xml:space="preserve"> Explaining why certain species thrive (e.g., disturbance-dependent species on former industrial sites).</w:t>
      </w:r>
    </w:p>
    <w:p w14:paraId="782F2D81" w14:textId="77777777" w:rsidR="003633BD" w:rsidRPr="003633BD" w:rsidRDefault="003633BD" w:rsidP="003633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Conservation Narratives:</w:t>
      </w:r>
      <w:r w:rsidRPr="003633BD">
        <w:rPr>
          <w:rFonts w:ascii="Times New Roman" w:eastAsia="Times New Roman" w:hAnsi="Times New Roman" w:cs="Times New Roman"/>
          <w:kern w:val="0"/>
          <w14:ligatures w14:val="none"/>
        </w:rPr>
        <w:t xml:space="preserve"> Highlighting the resilience of land and the success of remediation efforts.</w:t>
      </w:r>
    </w:p>
    <w:p w14:paraId="44F1B376" w14:textId="77777777" w:rsidR="003633BD" w:rsidRPr="003633BD" w:rsidRDefault="003633BD" w:rsidP="003633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Public Engagement:</w:t>
      </w:r>
      <w:r w:rsidRPr="003633BD">
        <w:rPr>
          <w:rFonts w:ascii="Times New Roman" w:eastAsia="Times New Roman" w:hAnsi="Times New Roman" w:cs="Times New Roman"/>
          <w:kern w:val="0"/>
          <w14:ligatures w14:val="none"/>
        </w:rPr>
        <w:t xml:space="preserve"> Providing a richer "sense of place" that connects visitors to the human and natural past.</w:t>
      </w:r>
    </w:p>
    <w:p w14:paraId="077E8A9D" w14:textId="77777777" w:rsidR="003633BD" w:rsidRPr="003633BD" w:rsidRDefault="003633BD" w:rsidP="003633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33BD">
        <w:rPr>
          <w:rFonts w:ascii="Times New Roman" w:eastAsia="Times New Roman" w:hAnsi="Times New Roman" w:cs="Times New Roman"/>
          <w:b/>
          <w:bCs/>
          <w:kern w:val="0"/>
          <w:sz w:val="36"/>
          <w:szCs w:val="36"/>
          <w14:ligatures w14:val="none"/>
        </w:rPr>
        <w:t>2. Key Categories of Historical Landscapes</w:t>
      </w:r>
    </w:p>
    <w:p w14:paraId="1C986D39" w14:textId="77777777" w:rsidR="003633BD" w:rsidRPr="003633BD" w:rsidRDefault="003633BD" w:rsidP="003633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3BD">
        <w:rPr>
          <w:rFonts w:ascii="Times New Roman" w:eastAsia="Times New Roman" w:hAnsi="Times New Roman" w:cs="Times New Roman"/>
          <w:b/>
          <w:bCs/>
          <w:kern w:val="0"/>
          <w:sz w:val="27"/>
          <w:szCs w:val="27"/>
          <w14:ligatures w14:val="none"/>
        </w:rPr>
        <w:t>A. Shadow Landscapes (Military and Restricted Sites)</w:t>
      </w:r>
    </w:p>
    <w:p w14:paraId="1EA2E26D" w14:textId="77777777" w:rsidR="003633BD" w:rsidRPr="003633BD" w:rsidRDefault="003633BD" w:rsidP="003633BD">
      <w:p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kern w:val="0"/>
          <w14:ligatures w14:val="none"/>
        </w:rPr>
        <w:t>These are areas where ecological value is an unintended consequence of historical restriction.</w:t>
      </w:r>
    </w:p>
    <w:p w14:paraId="69D52458" w14:textId="77777777" w:rsidR="003633BD" w:rsidRPr="003633BD" w:rsidRDefault="003633BD" w:rsidP="003633B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Example: Big Oaks National Wildlife Refuge (Indiana)</w:t>
      </w:r>
    </w:p>
    <w:p w14:paraId="30E03F60" w14:textId="77777777" w:rsidR="003633BD" w:rsidRPr="003633BD" w:rsidRDefault="003633BD" w:rsidP="003633B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Context:</w:t>
      </w:r>
      <w:r w:rsidRPr="003633BD">
        <w:rPr>
          <w:rFonts w:ascii="Times New Roman" w:eastAsia="Times New Roman" w:hAnsi="Times New Roman" w:cs="Times New Roman"/>
          <w:kern w:val="0"/>
          <w14:ligatures w14:val="none"/>
        </w:rPr>
        <w:t xml:space="preserve"> Formerly a munitions testing facility.</w:t>
      </w:r>
    </w:p>
    <w:p w14:paraId="25EC25EF" w14:textId="77777777" w:rsidR="003633BD" w:rsidRPr="003633BD" w:rsidRDefault="003633BD" w:rsidP="003633B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Value:</w:t>
      </w:r>
      <w:r w:rsidRPr="003633BD">
        <w:rPr>
          <w:rFonts w:ascii="Times New Roman" w:eastAsia="Times New Roman" w:hAnsi="Times New Roman" w:cs="Times New Roman"/>
          <w:kern w:val="0"/>
          <w14:ligatures w14:val="none"/>
        </w:rPr>
        <w:t xml:space="preserve"> Because the land was closed to the public and traditional development for decades due to unexploded ordnance, it became a massive sanctuary for rare bird species and undisturbed habitats.</w:t>
      </w:r>
    </w:p>
    <w:p w14:paraId="6F78166A" w14:textId="77777777" w:rsidR="003633BD" w:rsidRPr="003633BD" w:rsidRDefault="003633BD" w:rsidP="003633B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Documentation Focus:</w:t>
      </w:r>
      <w:r w:rsidRPr="003633BD">
        <w:rPr>
          <w:rFonts w:ascii="Times New Roman" w:eastAsia="Times New Roman" w:hAnsi="Times New Roman" w:cs="Times New Roman"/>
          <w:kern w:val="0"/>
          <w14:ligatures w14:val="none"/>
        </w:rPr>
        <w:t xml:space="preserve"> The juxtaposition of military remnants (fencing, signage, structures) with thriving wilderness.</w:t>
      </w:r>
    </w:p>
    <w:p w14:paraId="6D00E37B" w14:textId="77777777" w:rsidR="003633BD" w:rsidRPr="003633BD" w:rsidRDefault="003633BD" w:rsidP="003633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3BD">
        <w:rPr>
          <w:rFonts w:ascii="Times New Roman" w:eastAsia="Times New Roman" w:hAnsi="Times New Roman" w:cs="Times New Roman"/>
          <w:b/>
          <w:bCs/>
          <w:kern w:val="0"/>
          <w:sz w:val="27"/>
          <w:szCs w:val="27"/>
          <w14:ligatures w14:val="none"/>
        </w:rPr>
        <w:t>B. Reclaimed and Remediated Landscapes</w:t>
      </w:r>
    </w:p>
    <w:p w14:paraId="5623D301" w14:textId="77777777" w:rsidR="003633BD" w:rsidRPr="003633BD" w:rsidRDefault="003633BD" w:rsidP="003633BD">
      <w:p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kern w:val="0"/>
          <w14:ligatures w14:val="none"/>
        </w:rPr>
        <w:t>Sites that have undergone significant environmental cleanup following industrial or energy-related use.</w:t>
      </w:r>
    </w:p>
    <w:p w14:paraId="3762A7CD" w14:textId="77777777" w:rsidR="003633BD" w:rsidRPr="003633BD" w:rsidRDefault="003633BD" w:rsidP="003633B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Example: Fernald Preserve (Ohio)</w:t>
      </w:r>
    </w:p>
    <w:p w14:paraId="5ECC4687" w14:textId="77777777" w:rsidR="003633BD" w:rsidRPr="003633BD" w:rsidRDefault="003633BD" w:rsidP="003633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Context:</w:t>
      </w:r>
      <w:r w:rsidRPr="003633BD">
        <w:rPr>
          <w:rFonts w:ascii="Times New Roman" w:eastAsia="Times New Roman" w:hAnsi="Times New Roman" w:cs="Times New Roman"/>
          <w:kern w:val="0"/>
          <w14:ligatures w14:val="none"/>
        </w:rPr>
        <w:t xml:space="preserve"> Formerly a uranium processing center during the Cold War.</w:t>
      </w:r>
    </w:p>
    <w:p w14:paraId="5DBA87D3" w14:textId="77777777" w:rsidR="003633BD" w:rsidRPr="003633BD" w:rsidRDefault="003633BD" w:rsidP="003633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lastRenderedPageBreak/>
        <w:t>Value:</w:t>
      </w:r>
      <w:r w:rsidRPr="003633BD">
        <w:rPr>
          <w:rFonts w:ascii="Times New Roman" w:eastAsia="Times New Roman" w:hAnsi="Times New Roman" w:cs="Times New Roman"/>
          <w:kern w:val="0"/>
          <w14:ligatures w14:val="none"/>
        </w:rPr>
        <w:t xml:space="preserve"> Following one of the largest environmental cleanups in U.S. history, the site was transformed into a landscape of wetlands and prairies. It serves as a global model for environmental restoration.</w:t>
      </w:r>
    </w:p>
    <w:p w14:paraId="57F9A13D" w14:textId="77777777" w:rsidR="003633BD" w:rsidRPr="003633BD" w:rsidRDefault="003633BD" w:rsidP="003633B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Documentation Focus:</w:t>
      </w:r>
      <w:r w:rsidRPr="003633BD">
        <w:rPr>
          <w:rFonts w:ascii="Times New Roman" w:eastAsia="Times New Roman" w:hAnsi="Times New Roman" w:cs="Times New Roman"/>
          <w:kern w:val="0"/>
          <w14:ligatures w14:val="none"/>
        </w:rPr>
        <w:t xml:space="preserve"> The transition from an industrial facility to a biodiversity hotspot, emphasizing man-made wetlands and architectural repurposing.</w:t>
      </w:r>
    </w:p>
    <w:p w14:paraId="1EAB771B" w14:textId="77777777" w:rsidR="003633BD" w:rsidRPr="003633BD" w:rsidRDefault="003633BD" w:rsidP="003633B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33BD">
        <w:rPr>
          <w:rFonts w:ascii="Times New Roman" w:eastAsia="Times New Roman" w:hAnsi="Times New Roman" w:cs="Times New Roman"/>
          <w:b/>
          <w:bCs/>
          <w:kern w:val="0"/>
          <w:sz w:val="27"/>
          <w:szCs w:val="27"/>
          <w14:ligatures w14:val="none"/>
        </w:rPr>
        <w:t>C. Ancient and Indigenous Landscapes</w:t>
      </w:r>
    </w:p>
    <w:p w14:paraId="33050766" w14:textId="77777777" w:rsidR="003633BD" w:rsidRPr="003633BD" w:rsidRDefault="003633BD" w:rsidP="003633BD">
      <w:p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kern w:val="0"/>
          <w14:ligatures w14:val="none"/>
        </w:rPr>
        <w:t>Sites that hold significant prehistoric or Indigenous cultural value, often characterized by earthen architecture or astronomical alignments.</w:t>
      </w:r>
    </w:p>
    <w:p w14:paraId="62F99D8F" w14:textId="77777777" w:rsidR="003633BD" w:rsidRPr="003633BD" w:rsidRDefault="003633BD" w:rsidP="003633B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Example: Fort Ancient Earthworks</w:t>
      </w:r>
    </w:p>
    <w:p w14:paraId="1D1E580F" w14:textId="77777777" w:rsidR="003633BD" w:rsidRPr="003633BD" w:rsidRDefault="003633BD" w:rsidP="003633B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Context:</w:t>
      </w:r>
      <w:r w:rsidRPr="003633BD">
        <w:rPr>
          <w:rFonts w:ascii="Times New Roman" w:eastAsia="Times New Roman" w:hAnsi="Times New Roman" w:cs="Times New Roman"/>
          <w:kern w:val="0"/>
          <w14:ligatures w14:val="none"/>
        </w:rPr>
        <w:t xml:space="preserve"> A massive hilltop enclosure with significant astronomical and ceremonial importance.</w:t>
      </w:r>
    </w:p>
    <w:p w14:paraId="3024FA83" w14:textId="77777777" w:rsidR="003633BD" w:rsidRPr="003633BD" w:rsidRDefault="003633BD" w:rsidP="003633B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Value:</w:t>
      </w:r>
      <w:r w:rsidRPr="003633BD">
        <w:rPr>
          <w:rFonts w:ascii="Times New Roman" w:eastAsia="Times New Roman" w:hAnsi="Times New Roman" w:cs="Times New Roman"/>
          <w:kern w:val="0"/>
          <w14:ligatures w14:val="none"/>
        </w:rPr>
        <w:t xml:space="preserve"> One of the largest surviving examples of Indigenous earthen engineering in North America.</w:t>
      </w:r>
    </w:p>
    <w:p w14:paraId="15AB3CDF" w14:textId="77777777" w:rsidR="003633BD" w:rsidRPr="003633BD" w:rsidRDefault="003633BD" w:rsidP="003633BD">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Documentation Focus:</w:t>
      </w:r>
      <w:r w:rsidRPr="003633BD">
        <w:rPr>
          <w:rFonts w:ascii="Times New Roman" w:eastAsia="Times New Roman" w:hAnsi="Times New Roman" w:cs="Times New Roman"/>
          <w:kern w:val="0"/>
          <w14:ligatures w14:val="none"/>
        </w:rPr>
        <w:t xml:space="preserve"> The scale of the embankments and their relationship to the surrounding topography and celestial events.</w:t>
      </w:r>
    </w:p>
    <w:p w14:paraId="654B0336" w14:textId="77777777" w:rsidR="003633BD" w:rsidRPr="003633BD" w:rsidRDefault="003633BD" w:rsidP="003633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33BD">
        <w:rPr>
          <w:rFonts w:ascii="Times New Roman" w:eastAsia="Times New Roman" w:hAnsi="Times New Roman" w:cs="Times New Roman"/>
          <w:b/>
          <w:bCs/>
          <w:kern w:val="0"/>
          <w:sz w:val="36"/>
          <w:szCs w:val="36"/>
          <w14:ligatures w14:val="none"/>
        </w:rPr>
        <w:t>3. Implementation Strategy for Documentation</w:t>
      </w:r>
    </w:p>
    <w:p w14:paraId="09C72468" w14:textId="77777777" w:rsidR="003633BD" w:rsidRPr="003633BD" w:rsidRDefault="003633BD" w:rsidP="003633BD">
      <w:p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kern w:val="0"/>
          <w14:ligatures w14:val="none"/>
        </w:rPr>
        <w:t>To effectively present this information in a public resource, consider the following data points for each site entry:</w:t>
      </w:r>
    </w:p>
    <w:p w14:paraId="37CC71F0" w14:textId="77777777" w:rsidR="003633BD" w:rsidRPr="003633BD" w:rsidRDefault="003633BD" w:rsidP="003633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Legacy Status:</w:t>
      </w:r>
      <w:r w:rsidRPr="003633BD">
        <w:rPr>
          <w:rFonts w:ascii="Times New Roman" w:eastAsia="Times New Roman" w:hAnsi="Times New Roman" w:cs="Times New Roman"/>
          <w:kern w:val="0"/>
          <w14:ligatures w14:val="none"/>
        </w:rPr>
        <w:t xml:space="preserve"> Categorize the site’s primary historical driver (e.g., Military, Industrial, Ancient).</w:t>
      </w:r>
    </w:p>
    <w:p w14:paraId="393BDAF5" w14:textId="77777777" w:rsidR="003633BD" w:rsidRPr="003633BD" w:rsidRDefault="003633BD" w:rsidP="003633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Transformation Narrative:</w:t>
      </w:r>
      <w:r w:rsidRPr="003633BD">
        <w:rPr>
          <w:rFonts w:ascii="Times New Roman" w:eastAsia="Times New Roman" w:hAnsi="Times New Roman" w:cs="Times New Roman"/>
          <w:kern w:val="0"/>
          <w14:ligatures w14:val="none"/>
        </w:rPr>
        <w:t xml:space="preserve"> Describe the specific process that led from its historical state to its current conservation status.</w:t>
      </w:r>
    </w:p>
    <w:p w14:paraId="484BA984" w14:textId="77777777" w:rsidR="003633BD" w:rsidRPr="003633BD" w:rsidRDefault="003633BD" w:rsidP="003633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Remnant vs. Reclaimed:</w:t>
      </w:r>
      <w:r w:rsidRPr="003633BD">
        <w:rPr>
          <w:rFonts w:ascii="Times New Roman" w:eastAsia="Times New Roman" w:hAnsi="Times New Roman" w:cs="Times New Roman"/>
          <w:kern w:val="0"/>
          <w14:ligatures w14:val="none"/>
        </w:rPr>
        <w:t xml:space="preserve"> Clarify if the ecology is a "remnant" of a pre-contact ecosystem or a "reclaimed" environment post-industry.</w:t>
      </w:r>
    </w:p>
    <w:p w14:paraId="19B315DB" w14:textId="77777777" w:rsidR="003633BD" w:rsidRPr="003633BD" w:rsidRDefault="003633BD" w:rsidP="003633B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b/>
          <w:bCs/>
          <w:kern w:val="0"/>
          <w14:ligatures w14:val="none"/>
        </w:rPr>
        <w:t>Visual Indicators:</w:t>
      </w:r>
      <w:r w:rsidRPr="003633BD">
        <w:rPr>
          <w:rFonts w:ascii="Times New Roman" w:eastAsia="Times New Roman" w:hAnsi="Times New Roman" w:cs="Times New Roman"/>
          <w:kern w:val="0"/>
          <w14:ligatures w14:val="none"/>
        </w:rPr>
        <w:t xml:space="preserve"> List specific historical features (ruins, markers, landforms) that should be documented to tell the full story of the land.</w:t>
      </w:r>
    </w:p>
    <w:p w14:paraId="065A316D" w14:textId="77777777" w:rsidR="003633BD" w:rsidRPr="003633BD" w:rsidRDefault="003633BD" w:rsidP="003633BD">
      <w:pPr>
        <w:spacing w:before="100" w:beforeAutospacing="1" w:after="100" w:afterAutospacing="1" w:line="240" w:lineRule="auto"/>
        <w:rPr>
          <w:rFonts w:ascii="Times New Roman" w:eastAsia="Times New Roman" w:hAnsi="Times New Roman" w:cs="Times New Roman"/>
          <w:kern w:val="0"/>
          <w14:ligatures w14:val="none"/>
        </w:rPr>
      </w:pPr>
      <w:r w:rsidRPr="003633BD">
        <w:rPr>
          <w:rFonts w:ascii="Times New Roman" w:eastAsia="Times New Roman" w:hAnsi="Times New Roman" w:cs="Times New Roman"/>
          <w:kern w:val="0"/>
          <w14:ligatures w14:val="none"/>
        </w:rPr>
        <w:t>By bridging the gap between natural history and human history, a land guide becomes a chronicle of resilience, offering users a deeper appreciation for the complexity of the public lands they visit.</w:t>
      </w:r>
    </w:p>
    <w:p w14:paraId="7E27E7B0" w14:textId="77777777" w:rsidR="005E5F24" w:rsidRPr="003633BD" w:rsidRDefault="005E5F24" w:rsidP="003633BD"/>
    <w:sectPr w:rsidR="005E5F24" w:rsidRPr="00363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639B1"/>
    <w:multiLevelType w:val="multilevel"/>
    <w:tmpl w:val="D73E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86358E"/>
    <w:multiLevelType w:val="multilevel"/>
    <w:tmpl w:val="AA5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51A77"/>
    <w:multiLevelType w:val="multilevel"/>
    <w:tmpl w:val="1186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1382C"/>
    <w:multiLevelType w:val="multilevel"/>
    <w:tmpl w:val="6FD6E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B4A35"/>
    <w:multiLevelType w:val="multilevel"/>
    <w:tmpl w:val="3962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157028">
    <w:abstractNumId w:val="1"/>
  </w:num>
  <w:num w:numId="2" w16cid:durableId="1498182282">
    <w:abstractNumId w:val="3"/>
  </w:num>
  <w:num w:numId="3" w16cid:durableId="563495386">
    <w:abstractNumId w:val="2"/>
  </w:num>
  <w:num w:numId="4" w16cid:durableId="582880003">
    <w:abstractNumId w:val="4"/>
  </w:num>
  <w:num w:numId="5" w16cid:durableId="92715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3BD"/>
    <w:rsid w:val="003633BD"/>
    <w:rsid w:val="003E7E3B"/>
    <w:rsid w:val="005E5F24"/>
    <w:rsid w:val="00D42EC6"/>
    <w:rsid w:val="00D8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9D40E"/>
  <w15:chartTrackingRefBased/>
  <w15:docId w15:val="{8D171868-F0D8-8D47-B822-4EF38393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3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3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3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3BD"/>
    <w:rPr>
      <w:rFonts w:eastAsiaTheme="majorEastAsia" w:cstheme="majorBidi"/>
      <w:color w:val="272727" w:themeColor="text1" w:themeTint="D8"/>
    </w:rPr>
  </w:style>
  <w:style w:type="paragraph" w:styleId="Title">
    <w:name w:val="Title"/>
    <w:basedOn w:val="Normal"/>
    <w:next w:val="Normal"/>
    <w:link w:val="TitleChar"/>
    <w:uiPriority w:val="10"/>
    <w:qFormat/>
    <w:rsid w:val="00363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3BD"/>
    <w:pPr>
      <w:spacing w:before="160"/>
      <w:jc w:val="center"/>
    </w:pPr>
    <w:rPr>
      <w:i/>
      <w:iCs/>
      <w:color w:val="404040" w:themeColor="text1" w:themeTint="BF"/>
    </w:rPr>
  </w:style>
  <w:style w:type="character" w:customStyle="1" w:styleId="QuoteChar">
    <w:name w:val="Quote Char"/>
    <w:basedOn w:val="DefaultParagraphFont"/>
    <w:link w:val="Quote"/>
    <w:uiPriority w:val="29"/>
    <w:rsid w:val="003633BD"/>
    <w:rPr>
      <w:i/>
      <w:iCs/>
      <w:color w:val="404040" w:themeColor="text1" w:themeTint="BF"/>
    </w:rPr>
  </w:style>
  <w:style w:type="paragraph" w:styleId="ListParagraph">
    <w:name w:val="List Paragraph"/>
    <w:basedOn w:val="Normal"/>
    <w:uiPriority w:val="34"/>
    <w:qFormat/>
    <w:rsid w:val="003633BD"/>
    <w:pPr>
      <w:ind w:left="720"/>
      <w:contextualSpacing/>
    </w:pPr>
  </w:style>
  <w:style w:type="character" w:styleId="IntenseEmphasis">
    <w:name w:val="Intense Emphasis"/>
    <w:basedOn w:val="DefaultParagraphFont"/>
    <w:uiPriority w:val="21"/>
    <w:qFormat/>
    <w:rsid w:val="003633BD"/>
    <w:rPr>
      <w:i/>
      <w:iCs/>
      <w:color w:val="0F4761" w:themeColor="accent1" w:themeShade="BF"/>
    </w:rPr>
  </w:style>
  <w:style w:type="paragraph" w:styleId="IntenseQuote">
    <w:name w:val="Intense Quote"/>
    <w:basedOn w:val="Normal"/>
    <w:next w:val="Normal"/>
    <w:link w:val="IntenseQuoteChar"/>
    <w:uiPriority w:val="30"/>
    <w:qFormat/>
    <w:rsid w:val="00363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3BD"/>
    <w:rPr>
      <w:i/>
      <w:iCs/>
      <w:color w:val="0F4761" w:themeColor="accent1" w:themeShade="BF"/>
    </w:rPr>
  </w:style>
  <w:style w:type="character" w:styleId="IntenseReference">
    <w:name w:val="Intense Reference"/>
    <w:basedOn w:val="DefaultParagraphFont"/>
    <w:uiPriority w:val="32"/>
    <w:qFormat/>
    <w:rsid w:val="003633BD"/>
    <w:rPr>
      <w:b/>
      <w:bCs/>
      <w:smallCaps/>
      <w:color w:val="0F4761" w:themeColor="accent1" w:themeShade="BF"/>
      <w:spacing w:val="5"/>
    </w:rPr>
  </w:style>
  <w:style w:type="paragraph" w:styleId="NormalWeb">
    <w:name w:val="Normal (Web)"/>
    <w:basedOn w:val="Normal"/>
    <w:uiPriority w:val="99"/>
    <w:semiHidden/>
    <w:unhideWhenUsed/>
    <w:rsid w:val="003633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3125</Characters>
  <Application>Microsoft Office Word</Application>
  <DocSecurity>0</DocSecurity>
  <Lines>60</Lines>
  <Paragraphs>33</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 Jordan (tatejd)</dc:creator>
  <cp:keywords/>
  <dc:description/>
  <cp:lastModifiedBy>Tate, Jordan (tatejd)</cp:lastModifiedBy>
  <cp:revision>1</cp:revision>
  <dcterms:created xsi:type="dcterms:W3CDTF">2026-04-02T01:37:00Z</dcterms:created>
  <dcterms:modified xsi:type="dcterms:W3CDTF">2026-04-02T01:37:00Z</dcterms:modified>
</cp:coreProperties>
</file>