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B469D6"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4559E0D6"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A4A9D">
        <w:rPr>
          <w:rFonts w:ascii="Calibri" w:eastAsia="Calibri" w:hAnsi="Calibri" w:cs="Calibri"/>
          <w:b/>
          <w:sz w:val="32"/>
          <w:szCs w:val="32"/>
          <w:u w:val="single"/>
        </w:rPr>
        <w:t>16 August</w:t>
      </w:r>
      <w:r>
        <w:rPr>
          <w:rFonts w:ascii="Calibri" w:eastAsia="Calibri" w:hAnsi="Calibri" w:cs="Calibri"/>
          <w:b/>
          <w:sz w:val="32"/>
          <w:szCs w:val="32"/>
          <w:u w:val="single"/>
        </w:rPr>
        <w:t xml:space="preserve"> 2023</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Head of </w:t>
      </w:r>
      <w:proofErr w:type="spellStart"/>
      <w:r w:rsidR="00C8586D">
        <w:rPr>
          <w:rFonts w:asciiTheme="majorHAnsi" w:eastAsia="Calibri" w:hAnsiTheme="majorHAnsi" w:cstheme="majorHAnsi"/>
          <w:sz w:val="22"/>
          <w:szCs w:val="22"/>
        </w:rPr>
        <w:t>OpenNeuroPET</w:t>
      </w:r>
      <w:proofErr w:type="spellEnd"/>
      <w:r w:rsidR="00C8586D">
        <w:rPr>
          <w:rFonts w:asciiTheme="majorHAnsi" w:eastAsia="Calibri" w:hAnsiTheme="majorHAnsi" w:cstheme="majorHAnsi"/>
          <w:sz w:val="22"/>
          <w:szCs w:val="22"/>
        </w:rPr>
        <w: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metadata enhancement (</w:t>
      </w:r>
      <w:proofErr w:type="gramStart"/>
      <w:r w:rsidR="003C2FA0">
        <w:rPr>
          <w:rFonts w:ascii="Calibri" w:eastAsia="Calibri" w:hAnsi="Calibri" w:cs="Calibri"/>
          <w:color w:val="222222"/>
          <w:sz w:val="22"/>
          <w:szCs w:val="22"/>
          <w:highlight w:val="white"/>
        </w:rPr>
        <w:t>e.g.</w:t>
      </w:r>
      <w:proofErr w:type="gramEnd"/>
      <w:r w:rsidR="003C2FA0">
        <w:rPr>
          <w:rFonts w:ascii="Calibri" w:eastAsia="Calibri" w:hAnsi="Calibri" w:cs="Calibri"/>
          <w:color w:val="222222"/>
          <w:sz w:val="22"/>
          <w:szCs w:val="22"/>
          <w:highlight w:val="white"/>
        </w:rPr>
        <w:t xml:space="preserve">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roofErr w:type="spellStart"/>
      <w:r w:rsidRPr="003A4A9D">
        <w:rPr>
          <w:rFonts w:ascii="Calibri" w:eastAsia="Calibri" w:hAnsi="Calibri" w:cs="Calibri"/>
          <w:color w:val="000000"/>
          <w:sz w:val="22"/>
          <w:szCs w:val="22"/>
          <w:highlight w:val="yellow"/>
        </w:rPr>
        <w:t>Dataset_name</w:t>
      </w:r>
      <w:proofErr w:type="spellEnd"/>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6684522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p>
    <w:p w14:paraId="60969AD0" w14:textId="562B0781"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lastRenderedPageBreak/>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proofErr w:type="gramStart"/>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proofErr w:type="gram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E148A8">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E148A8">
      <w:pPr>
        <w:spacing w:line="240" w:lineRule="auto"/>
        <w:ind w:leftChars="0" w:left="0" w:firstLineChars="0" w:firstLine="284"/>
        <w:contextualSpacing/>
        <w:rPr>
          <w:rFonts w:ascii="Calibri" w:eastAsia="Calibri" w:hAnsi="Calibri" w:cs="Calibri"/>
          <w:sz w:val="22"/>
          <w:szCs w:val="22"/>
          <w:u w:val="single"/>
        </w:rPr>
      </w:pPr>
    </w:p>
    <w:p w14:paraId="724A0602" w14:textId="14444357" w:rsidR="00A605BB" w:rsidRDefault="00A605BB" w:rsidP="00E148A8">
      <w:pPr>
        <w:pStyle w:val="Heading2"/>
        <w:numPr>
          <w:ilvl w:val="0"/>
          <w:numId w:val="0"/>
        </w:numPr>
        <w:ind w:firstLine="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E727A7">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0000009D" w14:textId="77777777" w:rsidR="002106E8" w:rsidRDefault="00904DC8"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tbl>
      <w:tblPr>
        <w:tblStyle w:val="3"/>
        <w:tblW w:w="9778" w:type="dxa"/>
        <w:tblInd w:w="-108" w:type="dxa"/>
        <w:tblLayout w:type="fixed"/>
        <w:tblLook w:val="0000" w:firstRow="0" w:lastRow="0" w:firstColumn="0" w:lastColumn="0" w:noHBand="0" w:noVBand="0"/>
      </w:tblPr>
      <w:tblGrid>
        <w:gridCol w:w="6629"/>
        <w:gridCol w:w="3149"/>
      </w:tblGrid>
      <w:tr w:rsidR="002106E8" w14:paraId="53FB02A3" w14:textId="77777777">
        <w:tc>
          <w:tcPr>
            <w:tcW w:w="6629" w:type="dxa"/>
          </w:tcPr>
          <w:p w14:paraId="0000009E" w14:textId="1549B0CE" w:rsidR="002106E8"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12"/>
                <w:id w:val="1275899839"/>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BIDS-curation of pseudonymized Institution Data:</w:t>
            </w:r>
          </w:p>
        </w:tc>
        <w:tc>
          <w:tcPr>
            <w:tcW w:w="3149" w:type="dxa"/>
          </w:tcPr>
          <w:p w14:paraId="0000009F" w14:textId="66EB5324" w:rsidR="002106E8" w:rsidRDefault="00904DC8" w:rsidP="00E148A8">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b/>
                <w:sz w:val="22"/>
                <w:szCs w:val="22"/>
                <w:highlight w:val="white"/>
              </w:rPr>
              <w:t>500 DKK/hour</w:t>
            </w:r>
          </w:p>
        </w:tc>
      </w:tr>
      <w:tr w:rsidR="002106E8" w14:paraId="370A8BD2" w14:textId="77777777">
        <w:tc>
          <w:tcPr>
            <w:tcW w:w="6629" w:type="dxa"/>
          </w:tcPr>
          <w:p w14:paraId="000000A0" w14:textId="471086CF" w:rsidR="002106E8" w:rsidRDefault="00000000" w:rsidP="00E148A8">
            <w:pPr>
              <w:spacing w:line="240" w:lineRule="auto"/>
              <w:ind w:leftChars="0" w:left="0" w:firstLineChars="0" w:firstLine="284"/>
              <w:contextualSpacing/>
              <w:rPr>
                <w:rFonts w:ascii="Calibri" w:eastAsia="Calibri" w:hAnsi="Calibri" w:cs="Calibri"/>
                <w:sz w:val="22"/>
                <w:szCs w:val="22"/>
                <w:highlight w:val="yellow"/>
              </w:rPr>
            </w:pPr>
            <w:sdt>
              <w:sdtPr>
                <w:tag w:val="goog_rdk_13"/>
                <w:id w:val="-1086227256"/>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Private hosting:</w:t>
            </w:r>
          </w:p>
        </w:tc>
        <w:tc>
          <w:tcPr>
            <w:tcW w:w="3149" w:type="dxa"/>
          </w:tcPr>
          <w:p w14:paraId="000000A1" w14:textId="6CE1677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highlight w:val="white"/>
              </w:rPr>
              <w:t>2000 DKK management fee</w:t>
            </w:r>
          </w:p>
        </w:tc>
      </w:tr>
      <w:tr w:rsidR="002106E8" w14:paraId="44EB287E" w14:textId="77777777">
        <w:tc>
          <w:tcPr>
            <w:tcW w:w="6629" w:type="dxa"/>
          </w:tcPr>
          <w:p w14:paraId="2AEBF661" w14:textId="77777777" w:rsidR="00BF3AD5" w:rsidRDefault="00000000" w:rsidP="00E148A8">
            <w:pPr>
              <w:spacing w:line="240" w:lineRule="auto"/>
              <w:ind w:leftChars="0" w:left="0" w:firstLineChars="0" w:firstLine="284"/>
              <w:contextualSpacing/>
              <w:rPr>
                <w:rFonts w:ascii="Calibri" w:eastAsia="Calibri" w:hAnsi="Calibri" w:cs="Calibri"/>
                <w:sz w:val="22"/>
                <w:szCs w:val="22"/>
                <w:highlight w:val="white"/>
              </w:rPr>
            </w:pPr>
            <w:sdt>
              <w:sdtPr>
                <w:tag w:val="goog_rdk_14"/>
                <w:id w:val="1430618103"/>
              </w:sdtPr>
              <w:sdtContent>
                <w:r w:rsidR="00904DC8">
                  <w:rPr>
                    <w:rFonts w:ascii="Arial Unicode MS" w:eastAsia="Arial Unicode MS" w:hAnsi="Arial Unicode MS" w:cs="Arial Unicode MS"/>
                    <w:sz w:val="22"/>
                    <w:szCs w:val="22"/>
                    <w:highlight w:val="white"/>
                  </w:rPr>
                  <w:t xml:space="preserve">☐ </w:t>
                </w:r>
              </w:sdtContent>
            </w:sdt>
            <w:r w:rsidR="00904DC8">
              <w:rPr>
                <w:rFonts w:ascii="Calibri" w:eastAsia="Calibri" w:hAnsi="Calibri" w:cs="Calibri"/>
                <w:sz w:val="22"/>
                <w:szCs w:val="22"/>
                <w:highlight w:val="white"/>
              </w:rPr>
              <w:t xml:space="preserve">Public or fully open data hosting        </w:t>
            </w:r>
          </w:p>
          <w:p w14:paraId="4A60348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Warm cloud-based hosting and data access management:</w:t>
            </w:r>
          </w:p>
          <w:p w14:paraId="225A3F81" w14:textId="77777777" w:rsidR="00BF3AD5" w:rsidRPr="00BF3AD5" w:rsidRDefault="00BF3AD5" w:rsidP="00BF3AD5">
            <w:pPr>
              <w:spacing w:line="240" w:lineRule="auto"/>
              <w:ind w:leftChars="0" w:firstLineChars="0" w:firstLine="284"/>
              <w:contextualSpacing/>
              <w:rPr>
                <w:rFonts w:ascii="Calibri" w:eastAsia="Calibri" w:hAnsi="Calibri" w:cs="Calibri"/>
                <w:sz w:val="22"/>
                <w:szCs w:val="22"/>
              </w:rPr>
            </w:pPr>
            <w:r w:rsidRPr="00BF3AD5">
              <w:rPr>
                <w:rFonts w:ascii="Segoe UI Symbol" w:eastAsia="Calibri" w:hAnsi="Segoe UI Symbol" w:cs="Segoe UI Symbol"/>
                <w:sz w:val="22"/>
                <w:szCs w:val="22"/>
              </w:rPr>
              <w:t>☐</w:t>
            </w:r>
            <w:r w:rsidRPr="00BF3AD5">
              <w:rPr>
                <w:rFonts w:ascii="Calibri" w:eastAsia="Calibri" w:hAnsi="Calibri" w:cs="Calibri"/>
                <w:sz w:val="22"/>
                <w:szCs w:val="22"/>
              </w:rPr>
              <w:t xml:space="preserve"> Archiving/Cold data sharing (from tape to cloud): </w:t>
            </w:r>
          </w:p>
          <w:p w14:paraId="0666881C" w14:textId="77777777" w:rsidR="00BF3AD5" w:rsidRDefault="00BF3AD5" w:rsidP="00BF3AD5">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sz w:val="22"/>
                <w:szCs w:val="22"/>
              </w:rPr>
              <w:t xml:space="preserve">     (only for contract renewal)</w:t>
            </w:r>
          </w:p>
          <w:p w14:paraId="04B984CF" w14:textId="1B729471" w:rsidR="003A4A9D" w:rsidRDefault="003A4A9D" w:rsidP="00BF3AD5">
            <w:pPr>
              <w:spacing w:line="240" w:lineRule="auto"/>
              <w:ind w:leftChars="0" w:left="0" w:firstLineChars="0" w:firstLine="284"/>
              <w:contextualSpacing/>
              <w:rPr>
                <w:rFonts w:ascii="Calibri" w:eastAsia="Calibri" w:hAnsi="Calibri" w:cs="Calibri"/>
                <w:b/>
                <w:bCs/>
                <w:sz w:val="22"/>
                <w:szCs w:val="22"/>
              </w:rPr>
            </w:pPr>
            <w:r w:rsidRPr="00BF3AD5">
              <w:rPr>
                <w:rFonts w:ascii="Segoe UI Symbol" w:eastAsia="Calibri" w:hAnsi="Segoe UI Symbol" w:cs="Segoe UI Symbol"/>
                <w:sz w:val="22"/>
                <w:szCs w:val="22"/>
              </w:rPr>
              <w:t>☐</w:t>
            </w:r>
            <w:r>
              <w:rPr>
                <w:rFonts w:ascii="Segoe UI Symbol" w:eastAsia="Calibri" w:hAnsi="Segoe UI Symbol" w:cs="Segoe UI Symbol"/>
                <w:sz w:val="22"/>
                <w:szCs w:val="22"/>
              </w:rPr>
              <w:t xml:space="preserve"> </w:t>
            </w:r>
            <w:r w:rsidRPr="003A4A9D">
              <w:rPr>
                <w:rFonts w:asciiTheme="majorHAnsi" w:eastAsia="Calibri" w:hAnsiTheme="majorHAnsi" w:cstheme="majorHAnsi"/>
                <w:sz w:val="22"/>
                <w:szCs w:val="22"/>
              </w:rPr>
              <w:t>Others</w:t>
            </w:r>
          </w:p>
          <w:p w14:paraId="000000A2" w14:textId="55B7C752" w:rsidR="002106E8" w:rsidRDefault="00904DC8" w:rsidP="00BF3AD5">
            <w:pPr>
              <w:spacing w:line="240" w:lineRule="auto"/>
              <w:ind w:leftChars="0" w:left="0" w:firstLineChars="0" w:firstLine="284"/>
              <w:contextualSpacing/>
              <w:rPr>
                <w:rFonts w:ascii="Calibri" w:eastAsia="Calibri" w:hAnsi="Calibri" w:cs="Calibri"/>
                <w:sz w:val="22"/>
                <w:szCs w:val="22"/>
                <w:highlight w:val="yellow"/>
              </w:rPr>
            </w:pPr>
            <w:r>
              <w:rPr>
                <w:rFonts w:ascii="Calibri" w:eastAsia="Calibri" w:hAnsi="Calibri" w:cs="Calibri"/>
                <w:sz w:val="22"/>
                <w:szCs w:val="22"/>
                <w:highlight w:val="white"/>
              </w:rPr>
              <w:t xml:space="preserve">            </w:t>
            </w:r>
          </w:p>
        </w:tc>
        <w:tc>
          <w:tcPr>
            <w:tcW w:w="3149" w:type="dxa"/>
          </w:tcPr>
          <w:p w14:paraId="71ADE31D" w14:textId="77777777" w:rsidR="002106E8" w:rsidRDefault="00904DC8"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 DKK</w:t>
            </w:r>
          </w:p>
          <w:p w14:paraId="41C664EB" w14:textId="140B2534" w:rsidR="00BF3AD5" w:rsidRDefault="00BF3AD5" w:rsidP="00E148A8">
            <w:pPr>
              <w:spacing w:line="240" w:lineRule="auto"/>
              <w:ind w:leftChars="0" w:left="0" w:firstLineChars="0" w:firstLine="284"/>
              <w:contextualSpacing/>
              <w:rPr>
                <w:rFonts w:ascii="Calibri" w:eastAsia="Calibri" w:hAnsi="Calibri" w:cs="Calibri"/>
                <w:b/>
                <w:sz w:val="22"/>
                <w:szCs w:val="22"/>
              </w:rPr>
            </w:pPr>
            <w:r>
              <w:rPr>
                <w:rFonts w:ascii="Calibri" w:eastAsia="Calibri" w:hAnsi="Calibri" w:cs="Calibri"/>
                <w:b/>
                <w:sz w:val="22"/>
                <w:szCs w:val="22"/>
              </w:rPr>
              <w:t>0.25 DKK/GB/month</w:t>
            </w:r>
          </w:p>
          <w:p w14:paraId="43693270" w14:textId="019FA914" w:rsidR="00BF3AD5" w:rsidRPr="00BF3AD5" w:rsidRDefault="00BF3AD5" w:rsidP="00E148A8">
            <w:pPr>
              <w:spacing w:line="240" w:lineRule="auto"/>
              <w:ind w:leftChars="0" w:left="0" w:firstLineChars="0" w:firstLine="284"/>
              <w:contextualSpacing/>
              <w:rPr>
                <w:rFonts w:ascii="Calibri" w:eastAsia="Calibri" w:hAnsi="Calibri" w:cs="Calibri"/>
                <w:b/>
                <w:bCs/>
                <w:sz w:val="22"/>
                <w:szCs w:val="22"/>
              </w:rPr>
            </w:pPr>
            <w:r w:rsidRPr="00BF3AD5">
              <w:rPr>
                <w:rFonts w:ascii="Calibri" w:eastAsia="Calibri" w:hAnsi="Calibri" w:cs="Calibri"/>
                <w:b/>
                <w:bCs/>
                <w:sz w:val="22"/>
                <w:szCs w:val="22"/>
              </w:rPr>
              <w:t>0.05 DKK/GB/month</w:t>
            </w:r>
          </w:p>
          <w:p w14:paraId="1C3DE2BE" w14:textId="77777777" w:rsidR="00BF3AD5" w:rsidRDefault="00BF3AD5" w:rsidP="00E148A8">
            <w:pPr>
              <w:spacing w:line="240" w:lineRule="auto"/>
              <w:ind w:leftChars="0" w:left="0" w:firstLineChars="0" w:firstLine="284"/>
              <w:contextualSpacing/>
              <w:rPr>
                <w:rFonts w:ascii="Calibri" w:eastAsia="Calibri" w:hAnsi="Calibri" w:cs="Calibri"/>
                <w:sz w:val="22"/>
                <w:szCs w:val="22"/>
              </w:rPr>
            </w:pPr>
          </w:p>
          <w:p w14:paraId="000000A3" w14:textId="1EADB4A8" w:rsidR="003A4A9D" w:rsidRDefault="003A4A9D" w:rsidP="00E148A8">
            <w:pPr>
              <w:spacing w:line="240" w:lineRule="auto"/>
              <w:ind w:leftChars="0" w:left="0" w:firstLineChars="0" w:firstLine="284"/>
              <w:contextualSpacing/>
              <w:rPr>
                <w:rFonts w:ascii="Calibri" w:eastAsia="Calibri" w:hAnsi="Calibri" w:cs="Calibri"/>
                <w:sz w:val="22"/>
                <w:szCs w:val="22"/>
              </w:rPr>
            </w:pPr>
            <w:r w:rsidRPr="003A4A9D">
              <w:rPr>
                <w:rFonts w:ascii="Calibri" w:eastAsia="Calibri" w:hAnsi="Calibri" w:cs="Calibri"/>
                <w:sz w:val="22"/>
                <w:szCs w:val="22"/>
                <w:highlight w:val="yellow"/>
              </w:rPr>
              <w:t>Set here if use or delete</w:t>
            </w:r>
          </w:p>
        </w:tc>
      </w:tr>
    </w:tbl>
    <w:p w14:paraId="000000A8" w14:textId="77777777" w:rsidR="002106E8" w:rsidRDefault="00904DC8" w:rsidP="00E148A8">
      <w:pPr>
        <w:spacing w:line="240" w:lineRule="auto"/>
        <w:ind w:leftChars="0" w:left="0" w:firstLineChars="0" w:firstLine="284"/>
        <w:contextualSpacing/>
        <w:rPr>
          <w:rFonts w:ascii="Calibri" w:eastAsia="Calibri" w:hAnsi="Calibri" w:cs="Calibri"/>
          <w:i/>
          <w:sz w:val="22"/>
          <w:szCs w:val="22"/>
        </w:rPr>
      </w:pPr>
      <w:r>
        <w:rPr>
          <w:rFonts w:ascii="Calibri" w:eastAsia="Calibri" w:hAnsi="Calibri" w:cs="Calibri"/>
          <w:i/>
          <w:sz w:val="22"/>
          <w:szCs w:val="22"/>
        </w:rPr>
        <w:t xml:space="preserve">* </w:t>
      </w:r>
      <w:r>
        <w:rPr>
          <w:rFonts w:ascii="Calibri" w:eastAsia="Calibri" w:hAnsi="Calibri" w:cs="Calibri"/>
          <w:i/>
          <w:sz w:val="22"/>
          <w:szCs w:val="22"/>
          <w:highlight w:val="white"/>
        </w:rPr>
        <w:t>The curated dataset size will be determined by rounded up to the nearest Gigabyte.</w:t>
      </w:r>
    </w:p>
    <w:p w14:paraId="7242F79F" w14:textId="77777777" w:rsidR="002269C6" w:rsidRDefault="002269C6" w:rsidP="00E148A8">
      <w:pPr>
        <w:spacing w:line="240" w:lineRule="auto"/>
        <w:ind w:leftChars="0" w:left="0" w:firstLineChars="0" w:firstLine="284"/>
        <w:contextualSpacing/>
        <w:rPr>
          <w:rFonts w:ascii="Calibri" w:eastAsia="Calibri" w:hAnsi="Calibri" w:cs="Calibri"/>
          <w:sz w:val="22"/>
          <w:szCs w:val="22"/>
        </w:rPr>
      </w:pPr>
    </w:p>
    <w:p w14:paraId="000000A9" w14:textId="56CFE458" w:rsidR="002106E8" w:rsidRDefault="00451CAF" w:rsidP="00E148A8">
      <w:pPr>
        <w:spacing w:line="240" w:lineRule="auto"/>
        <w:ind w:leftChars="0" w:left="0" w:firstLineChars="0" w:firstLine="284"/>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087883B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howingPlcHdr/>
        </w:sdtPr>
        <w:sdtContent>
          <w:r w:rsidR="00EA0F29">
            <w:t xml:space="preserve">     </w:t>
          </w: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lastRenderedPageBreak/>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lastRenderedPageBreak/>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w:t>
      </w:r>
      <w:proofErr w:type="gramStart"/>
      <w:r w:rsidR="00F3315E">
        <w:rPr>
          <w:rFonts w:ascii="Calibri" w:eastAsia="Calibri" w:hAnsi="Calibri" w:cs="Calibri"/>
          <w:sz w:val="22"/>
          <w:szCs w:val="22"/>
        </w:rPr>
        <w:t>i.e.</w:t>
      </w:r>
      <w:proofErr w:type="gramEnd"/>
      <w:r w:rsidR="00F3315E">
        <w:rPr>
          <w:rFonts w:ascii="Calibri" w:eastAsia="Calibri" w:hAnsi="Calibri" w:cs="Calibri"/>
          <w:sz w:val="22"/>
          <w:szCs w:val="22"/>
        </w:rPr>
        <w:t xml:space="preserv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 xml:space="preserve">Checks on failed access attempts and </w:t>
      </w:r>
      <w:proofErr w:type="gramStart"/>
      <w:r w:rsidR="0074230A" w:rsidRPr="00BC6A08">
        <w:rPr>
          <w:rFonts w:ascii="Calibri" w:eastAsia="Calibri" w:hAnsi="Calibri" w:cs="Calibri"/>
          <w:sz w:val="22"/>
          <w:szCs w:val="22"/>
          <w:u w:val="single"/>
        </w:rPr>
        <w:t>logging</w:t>
      </w:r>
      <w:proofErr w:type="gramEnd"/>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Løngreen,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3299" w14:textId="77777777" w:rsidR="006F5D22" w:rsidRDefault="006F5D22">
      <w:pPr>
        <w:spacing w:line="240" w:lineRule="auto"/>
        <w:ind w:left="0" w:hanging="2"/>
      </w:pPr>
      <w:r>
        <w:separator/>
      </w:r>
    </w:p>
  </w:endnote>
  <w:endnote w:type="continuationSeparator" w:id="0">
    <w:p w14:paraId="1C697B49" w14:textId="77777777" w:rsidR="006F5D22" w:rsidRDefault="006F5D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IDFont+F4">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F06B2" w14:textId="77777777" w:rsidR="006F5D22" w:rsidRDefault="006F5D22">
      <w:pPr>
        <w:spacing w:line="240" w:lineRule="auto"/>
        <w:ind w:left="0" w:hanging="2"/>
      </w:pPr>
      <w:r>
        <w:separator/>
      </w:r>
    </w:p>
  </w:footnote>
  <w:footnote w:type="continuationSeparator" w:id="0">
    <w:p w14:paraId="344C198A" w14:textId="77777777" w:rsidR="006F5D22" w:rsidRDefault="006F5D2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43BC9"/>
    <w:rsid w:val="0005113A"/>
    <w:rsid w:val="000619B4"/>
    <w:rsid w:val="00087DA8"/>
    <w:rsid w:val="000D0F53"/>
    <w:rsid w:val="000F3837"/>
    <w:rsid w:val="00110190"/>
    <w:rsid w:val="00120E6B"/>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43C19"/>
    <w:rsid w:val="00370182"/>
    <w:rsid w:val="003920D2"/>
    <w:rsid w:val="003A4A9D"/>
    <w:rsid w:val="003C2FA0"/>
    <w:rsid w:val="003E63C6"/>
    <w:rsid w:val="003F3C65"/>
    <w:rsid w:val="00451CAF"/>
    <w:rsid w:val="00462E52"/>
    <w:rsid w:val="004A34B8"/>
    <w:rsid w:val="004A5901"/>
    <w:rsid w:val="004F29B1"/>
    <w:rsid w:val="00516536"/>
    <w:rsid w:val="00553B02"/>
    <w:rsid w:val="00595AF2"/>
    <w:rsid w:val="006D60F3"/>
    <w:rsid w:val="006F5D22"/>
    <w:rsid w:val="0074230A"/>
    <w:rsid w:val="007470B1"/>
    <w:rsid w:val="0075379D"/>
    <w:rsid w:val="007544F6"/>
    <w:rsid w:val="00792660"/>
    <w:rsid w:val="007A0951"/>
    <w:rsid w:val="008241D4"/>
    <w:rsid w:val="0089179E"/>
    <w:rsid w:val="008C09DF"/>
    <w:rsid w:val="00904DC8"/>
    <w:rsid w:val="009414F7"/>
    <w:rsid w:val="00953CCD"/>
    <w:rsid w:val="00957E1E"/>
    <w:rsid w:val="009C2324"/>
    <w:rsid w:val="009E5CC5"/>
    <w:rsid w:val="00A605BB"/>
    <w:rsid w:val="00AD7D1B"/>
    <w:rsid w:val="00B07704"/>
    <w:rsid w:val="00B469D6"/>
    <w:rsid w:val="00B5575A"/>
    <w:rsid w:val="00B75CC9"/>
    <w:rsid w:val="00BB76F1"/>
    <w:rsid w:val="00BC6A08"/>
    <w:rsid w:val="00BF1727"/>
    <w:rsid w:val="00BF3AD5"/>
    <w:rsid w:val="00C0236E"/>
    <w:rsid w:val="00C334A7"/>
    <w:rsid w:val="00C8586D"/>
    <w:rsid w:val="00CF16EF"/>
    <w:rsid w:val="00CF2E79"/>
    <w:rsid w:val="00D21F97"/>
    <w:rsid w:val="00D67631"/>
    <w:rsid w:val="00D84A7F"/>
    <w:rsid w:val="00DE0C9B"/>
    <w:rsid w:val="00E148A8"/>
    <w:rsid w:val="00E53C57"/>
    <w:rsid w:val="00E727A7"/>
    <w:rsid w:val="00E91EF3"/>
    <w:rsid w:val="00EA0F29"/>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7496</Words>
  <Characters>42729</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4</cp:revision>
  <dcterms:created xsi:type="dcterms:W3CDTF">2023-08-16T14:07:00Z</dcterms:created>
  <dcterms:modified xsi:type="dcterms:W3CDTF">2023-08-30T12:07:00Z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