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224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240"/>
      </w:tblGrid>
      <w:tr>
        <w:trPr>
          <w:trHeight w:val="15800" w:hRule="exact"/>
          <w:tblHeader w:val="true"/>
        </w:trPr>
        <w:tc>
          <w:tcPr>
            <w:tcW w:type="dxa" w:w="12240"/>
            <w:shd w:fill="101828" w:color="auto" w:val="clear"/>
            <w:tcMar>
              <w:top w:type="dxa" w:w="0"/>
              <w:left w:type="dxa" w:w="1440"/>
              <w:bottom w:type="dxa" w:w="0"/>
              <w:right w:type="dxa" w:w="1440"/>
            </w:tcMar>
          </w:tcPr>
          <w:p>
            <w:pPr>
              <w:spacing w:after="120" w:before="1800"/>
            </w:pPr>
            <w:r>
              <w:rPr>
                <w:rFonts w:ascii="Inter" w:cs="Inter" w:eastAsia="Inter" w:hAnsi="Inter"/>
              </w:rPr>
              <w:t xml:space="preserve"/>
            </w:r>
          </w:p>
          <w:p>
            <w:pPr>
              <w:spacing w:after="0"/>
              <w:jc w:val="left"/>
            </w:pPr>
            <w:r>
              <w:rPr>
                <w:rFonts w:ascii="Manrope" w:cs="Manrope" w:eastAsia="Manrope" w:hAnsi="Manrope"/>
                <w:b/>
                <w:bCs/>
                <w:color w:val="315BFF"/>
                <w:sz w:val="64"/>
                <w:szCs w:val="64"/>
              </w:rPr>
            </w:r>
            <w:r>
              <w:rPr>
                <w:rFonts w:ascii="Manrope" w:cs="Manrope" w:eastAsia="Manrope" w:hAnsi="Manrope"/>
                <w:b/>
                <w:bCs/>
                <w:color w:val="FFFFFF"/>
                <w:sz w:val="64"/>
                <w:szCs w:val="64"/>
              </w:rPr>
            </w:r>
            <w:r>
              <w:drawing>
                <wp:inline xmlns:a="http://schemas.openxmlformats.org/drawingml/2006/main" xmlns:pic="http://schemas.openxmlformats.org/drawingml/2006/picture">
                  <wp:extent cx="2240280" cy="760295"/>
                  <wp:docPr id="1" name="Picture 1" descr="Image: image1.png"/>
                  <wp:cNvGraphicFramePr>
                    <a:graphicFrameLocks noChangeAspect="1"/>
                  </wp:cNvGraphicFramePr>
                  <a:graphic>
                    <a:graphicData uri="http://schemas.openxmlformats.org/drawingml/2006/picture">
                      <pic:pic>
                        <pic:nvPicPr>
                          <pic:cNvPr id="0" name="ADelier_FullLogo_Horizontal_Reverse_1600px.png"/>
                          <pic:cNvPicPr/>
                        </pic:nvPicPr>
                        <pic:blipFill>
                          <a:blip r:embed="rId15"/>
                          <a:stretch>
                            <a:fillRect/>
                          </a:stretch>
                        </pic:blipFill>
                        <pic:spPr>
                          <a:xfrm>
                            <a:off x="0" y="0"/>
                            <a:ext cx="2240280" cy="760295"/>
                          </a:xfrm>
                          <a:prstGeom prst="rect"/>
                        </pic:spPr>
                      </pic:pic>
                    </a:graphicData>
                  </a:graphic>
                </wp:inline>
              </w:drawing>
            </w:r>
          </w:p>
          <w:p>
            <w:pPr>
              <w:spacing w:after="2000"/>
            </w:pPr>
            <w:r>
              <w:rPr>
                <w:rFonts w:ascii="Inter" w:cs="Inter" w:eastAsia="Inter" w:hAnsi="Inter"/>
                <w:color w:val="B8C1D6"/>
                <w:spacing w:val="60"/>
                <w:sz w:val="16"/>
                <w:szCs w:val="16"/>
              </w:rPr>
            </w:r>
          </w:p>
          <w:tbl>
            <w:tblPr>
              <w:tblW w:type="dxa" w:w="9360"/>
              <w:jc w:val="left"/>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20"/>
              <w:gridCol w:w="8320"/>
              <w:gridCol w:w="520"/>
            </w:tblGrid>
            <w:tr>
              <w:trPr>
                <w:trHeight w:val="360" w:hRule="exact"/>
                <w:tblHeader/>
              </w:trPr>
              <w:tc>
                <w:tcPr>
                  <w:tcW w:type="dxa" w:w="520"/>
                  <w:tcBorders>
                    <w:top w:val="single" w:color="FFFFFF" w:sz="20"/>
                    <w:left w:val="single" w:color="FFFFFF" w:sz="20"/>
                    <w:bottom w:val="none" w:color="FFFFFF" w:sz="0"/>
                    <w:right w:val="none" w:color="FFFFFF" w:sz="0"/>
                  </w:tcBorders>
                  <w:tcMar>
                    <w:top w:type="dxa" w:w="0"/>
                    <w:left w:type="dxa" w:w="0"/>
                    <w:bottom w:type="dxa" w:w="0"/>
                    <w:right w:type="dxa" w:w="0"/>
                  </w:tcMar>
                </w:tcPr>
                <w:p>
                  <w:pPr>
                    <w:spacing w:after="0" w:line="20" w:lineRule="exact"/>
                  </w:pPr>
                  <w:r>
                    <w:rPr>
                      <w:sz w:val="2"/>
                      <w:szCs w:val="2"/>
                    </w:rPr>
                    <w:t xml:space="preserve"/>
                  </w:r>
                </w:p>
              </w:tc>
              <w:tc>
                <w:tcPr>
                  <w:tcW w:type="dxa" w:w="8320"/>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line="20" w:lineRule="exact"/>
                  </w:pPr>
                  <w:r>
                    <w:rPr>
                      <w:sz w:val="2"/>
                      <w:szCs w:val="2"/>
                    </w:rPr>
                    <w:t xml:space="preserve"/>
                  </w:r>
                </w:p>
              </w:tc>
              <w:tc>
                <w:tcPr>
                  <w:tcW w:type="dxa" w:w="520"/>
                  <w:tcBorders>
                    <w:top w:val="single" w:color="FFFFFF" w:sz="20"/>
                    <w:left w:val="none" w:color="FFFFFF" w:sz="0"/>
                    <w:bottom w:val="none" w:color="FFFFFF" w:sz="0"/>
                    <w:right w:val="single" w:color="FFFFFF" w:sz="20"/>
                  </w:tcBorders>
                  <w:tcMar>
                    <w:top w:type="dxa" w:w="0"/>
                    <w:left w:type="dxa" w:w="0"/>
                    <w:bottom w:type="dxa" w:w="0"/>
                    <w:right w:type="dxa" w:w="0"/>
                  </w:tcMar>
                </w:tcPr>
                <w:p>
                  <w:pPr>
                    <w:spacing w:after="0" w:line="20" w:lineRule="exact"/>
                  </w:pPr>
                  <w:r>
                    <w:rPr>
                      <w:sz w:val="2"/>
                      <w:szCs w:val="2"/>
                    </w:rPr>
                    <w:t xml:space="preserve"/>
                  </w:r>
                </w:p>
              </w:tc>
            </w:tr>
            <w:tr>
              <w:trPr>
                <w:cantSplit/>
              </w:trPr>
              <w:tc>
                <w:tcPr>
                  <w:tcW w:type="dxa" w:w="520"/>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line="20" w:lineRule="exact"/>
                  </w:pPr>
                  <w:r>
                    <w:rPr>
                      <w:sz w:val="2"/>
                      <w:szCs w:val="2"/>
                    </w:rPr>
                    <w:t xml:space="preserve"/>
                  </w:r>
                </w:p>
              </w:tc>
              <w:tc>
                <w:tcPr>
                  <w:tcW w:type="dxa" w:w="8320"/>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200" w:before="120" w:line="880" w:lineRule="exact"/>
                  </w:pPr>
                  <w:r>
                    <w:rPr>
                      <w:rFonts w:ascii="Manrope" w:cs="Manrope" w:eastAsia="Manrope" w:hAnsi="Manrope"/>
                      <w:b/>
                      <w:bCs/>
                      <w:color w:val="FFFFFF"/>
                      <w:sz w:val="76"/>
                      <w:szCs w:val="76"/>
                    </w:rPr>
                    <w:t xml:space="preserve">Commercial Playbook</w:t>
                  </w:r>
                </w:p>
                <w:p>
                  <w:pPr>
                    <w:pBdr>
                      <w:bottom w:val="single" w:color="3FAF8F" w:sz="18" w:space="1"/>
                    </w:pBdr>
                    <w:spacing w:after="300"/>
                    <w:ind w:right="5400"/>
                  </w:pPr>
                </w:p>
                <w:p>
                  <w:pPr>
                    <w:spacing w:after="120"/>
                  </w:pPr>
                  <w:r>
                    <w:rPr>
                      <w:rFonts w:ascii="Source Serif 4" w:cs="Source Serif 4" w:eastAsia="Source Serif 4" w:hAnsi="Source Serif 4"/>
                      <w:i/>
                      <w:iCs/>
                      <w:color w:val="F6F7FB"/>
                      <w:sz w:val="26"/>
                      <w:szCs w:val="26"/>
                    </w:rPr>
                    <w:t xml:space="preserve">Offers, messaging, website, sales and launch</w:t>
                  </w:r>
                </w:p>
              </w:tc>
              <w:tc>
                <w:tcPr>
                  <w:tcW w:type="dxa" w:w="520"/>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line="20" w:lineRule="exact"/>
                  </w:pPr>
                  <w:r>
                    <w:rPr>
                      <w:sz w:val="2"/>
                      <w:szCs w:val="2"/>
                    </w:rPr>
                    <w:t xml:space="preserve"/>
                  </w:r>
                </w:p>
              </w:tc>
            </w:tr>
            <w:tr>
              <w:trPr>
                <w:trHeight w:val="360" w:hRule="exact"/>
              </w:trPr>
              <w:tc>
                <w:tcPr>
                  <w:tcW w:type="dxa" w:w="520"/>
                  <w:tcBorders>
                    <w:top w:val="none" w:color="FFFFFF" w:sz="0"/>
                    <w:left w:val="single" w:color="FFFFFF" w:sz="20"/>
                    <w:bottom w:val="single" w:color="FFFFFF" w:sz="20"/>
                    <w:right w:val="none" w:color="FFFFFF" w:sz="0"/>
                  </w:tcBorders>
                  <w:tcMar>
                    <w:top w:type="dxa" w:w="0"/>
                    <w:left w:type="dxa" w:w="0"/>
                    <w:bottom w:type="dxa" w:w="0"/>
                    <w:right w:type="dxa" w:w="0"/>
                  </w:tcMar>
                </w:tcPr>
                <w:p>
                  <w:pPr>
                    <w:spacing w:after="0" w:line="20" w:lineRule="exact"/>
                  </w:pPr>
                  <w:r>
                    <w:rPr>
                      <w:sz w:val="2"/>
                      <w:szCs w:val="2"/>
                    </w:rPr>
                    <w:t xml:space="preserve"/>
                  </w:r>
                </w:p>
              </w:tc>
              <w:tc>
                <w:tcPr>
                  <w:tcW w:type="dxa" w:w="8320"/>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line="20" w:lineRule="exact"/>
                  </w:pPr>
                  <w:r>
                    <w:rPr>
                      <w:sz w:val="2"/>
                      <w:szCs w:val="2"/>
                    </w:rPr>
                    <w:t xml:space="preserve"/>
                  </w:r>
                </w:p>
              </w:tc>
              <w:tc>
                <w:tcPr>
                  <w:tcW w:type="dxa" w:w="520"/>
                  <w:tcBorders>
                    <w:top w:val="none" w:color="FFFFFF" w:sz="0"/>
                    <w:left w:val="none" w:color="FFFFFF" w:sz="0"/>
                    <w:bottom w:val="single" w:color="FFFFFF" w:sz="20"/>
                    <w:right w:val="single" w:color="FFFFFF" w:sz="20"/>
                  </w:tcBorders>
                  <w:tcMar>
                    <w:top w:type="dxa" w:w="0"/>
                    <w:left w:type="dxa" w:w="0"/>
                    <w:bottom w:type="dxa" w:w="0"/>
                    <w:right w:type="dxa" w:w="0"/>
                  </w:tcMar>
                </w:tcPr>
                <w:p>
                  <w:pPr>
                    <w:spacing w:after="0" w:line="20" w:lineRule="exact"/>
                  </w:pPr>
                  <w:r>
                    <w:rPr>
                      <w:sz w:val="2"/>
                      <w:szCs w:val="2"/>
                    </w:rPr>
                    <w:t xml:space="preserve"/>
                  </w:r>
                </w:p>
              </w:tc>
            </w:tr>
          </w:tbl>
          <w:p>
            <w:pPr>
              <w:spacing w:after="2600"/>
            </w:pPr>
            <w:r>
              <w:rPr>
                <w:rFonts w:ascii="Inter" w:cs="Inter" w:eastAsia="Inter" w:hAnsi="Inter"/>
              </w:rPr>
              <w:t xml:space="preserve"/>
            </w:r>
          </w:p>
          <w:p>
            <w:pPr>
              <w:spacing w:after="80"/>
            </w:pPr>
            <w:r>
              <w:rPr>
                <w:rFonts w:ascii="Inter" w:cs="Inter" w:eastAsia="Inter" w:hAnsi="Inter"/>
                <w:b/>
                <w:bCs/>
                <w:color w:val="3FAF8F"/>
                <w:sz w:val="20"/>
                <w:szCs w:val="20"/>
              </w:rPr>
              <w:t xml:space="preserve">Positioned to sell. Equipped to scale.</w:t>
            </w:r>
          </w:p>
          <w:p>
            <w:pPr>
              <w:spacing w:after="120"/>
            </w:pPr>
            <w:r>
              <w:rPr>
                <w:rFonts w:ascii="Inter" w:cs="Inter" w:eastAsia="Inter" w:hAnsi="Inter"/>
                <w:color w:val="B8C1D6"/>
                <w:sz w:val="16"/>
                <w:szCs w:val="16"/>
              </w:rPr>
              <w:t>Version 1.6  |  October 2026</w:t>
            </w:r>
          </w:p>
        </w:tc>
      </w:tr>
    </w:tbl>
    <w:p>
      <w:pPr>
        <w:sectPr>
          <w:headerReference w:type="default" r:id="rId9"/>
          <w:footerReference w:type="default" r:id="rId10"/>
          <w:headerReference w:type="first" r:id="rId11"/>
          <w:footerReference w:type="first" r:id="rId12"/>
          <w:headerReference w:type="even" r:id="rId13"/>
          <w:footerReference w:type="even" r:id="rId14"/>
          <w:pgSz w:w="12240" w:h="15840" w:orient="portrait"/>
          <w:pgMar w:top="0" w:right="0" w:bottom="0" w:left="0" w:header="0" w:footer="0" w:gutter="0"/>
          <w:pgNumType/>
          <w:docGrid w:linePitch="360"/>
        </w:sectPr>
      </w:pPr>
    </w:p>
    <w:p>
      <w:pPr>
        <w:keepNext/>
        <w:spacing w:after="40" w:before="360"/>
      </w:pPr>
      <w:r>
        <w:rPr>
          <w:rFonts w:ascii="Inter" w:hAnsi="Inter" w:eastAsia="Inter" w:cs="Inter"/>
          <w:b/>
          <w:bCs/>
          <w:color w:val="315BFF"/>
          <w:spacing w:val="20"/>
          <w:sz w:val="16"/>
          <w:szCs w:val="16"/>
        </w:rPr>
        <w:t xml:space="preserve">ABOUT THIS PLAYBOOK</w:t>
      </w:r>
    </w:p>
    <w:p>
      <w:pPr>
        <w:pStyle w:val="Heading2"/>
        <w:keepNext/>
        <w:keepLines/>
        <w:widowControl/>
        <w:spacing w:before="0"/>
      </w:pPr>
      <w:r>
        <w:rPr>
          <w:rFonts w:ascii="Manrope" w:hAnsi="Manrope" w:eastAsia="Manrope" w:cs="Manrope"/>
          <w:color w:val="101828"/>
        </w:rPr>
        <w:t xml:space="preserve">How ADelier sells</w:t>
      </w:r>
    </w:p>
    <w:p>
      <w:pPr>
        <w:spacing w:after="140"/>
      </w:pPr>
      <w:r>
        <w:rPr>
          <w:rFonts w:ascii="Inter" w:hAnsi="Inter" w:eastAsia="Inter" w:cs="Inter"/>
          <w:color w:val="101828"/>
        </w:rPr>
        <w:t xml:space="preserve">This playbook turns the brand into revenue: what ADelier sells first, how it talks about it, how the website and sales process work, how pricing is set and how the first year is sequenced. Brand rules live in the Brand Book; delivery and training rules live in the Delivery and Training Standard.</w:t>
      </w:r>
    </w:p>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360"/>
      </w:tblGrid>
      <w:tr>
        <w:trPr>
          <w:cantSplit/>
          <w:tblHeader w:val="true"/>
        </w:trPr>
        <w:tc>
          <w:tcPr>
            <w:tcW w:type="dxa" w:w="9360"/>
            <w:tcBorders>
              <w:top w:val="nil" w:color="FFFFFF" w:sz="0"/>
              <w:left w:val="single" w:color="3FAF8F" w:sz="20" w:space="0"/>
              <w:bottom w:val="nil" w:color="FFFFFF" w:sz="0"/>
              <w:right w:val="none" w:color="FFFFFF" w:sz="0"/>
              <w:end w:val="nil"/>
            </w:tcBorders>
            <w:shd w:fill="101828" w:color="auto" w:val="clear"/>
            <w:tcMar>
              <w:top w:type="dxa" w:w="120"/>
              <w:left w:type="dxa" w:w="240"/>
              <w:bottom w:type="dxa" w:w="120"/>
              <w:right w:type="dxa" w:w="240"/>
              <w:start w:w="160" w:type="dxa"/>
              <w:end w:w="160" w:type="dxa"/>
            </w:tcMar>
          </w:tcPr>
          <w:p>
            <w:pPr>
              <w:spacing w:after="60"/>
            </w:pPr>
            <w:r>
              <w:rPr>
                <w:rFonts w:ascii="Inter" w:cs="Inter" w:eastAsia="Inter" w:hAnsi="Inter"/>
                <w:b/>
                <w:bCs/>
                <w:color w:val="FFFFFF"/>
                <w:sz w:val="26"/>
                <w:szCs w:val="26"/>
              </w:rPr>
              <w:t xml:space="preserve">Positioned to sell. Equipped to scale.</w:t>
            </w:r>
          </w:p>
        </w:tc>
      </w:tr>
    </w:tbl>
    <w:p>
      <w:pPr>
        <w:spacing w:after="160" w:before="0"/>
      </w:pPr>
    </w:p>
    <w:p>
      <w:pPr>
        <w:pageBreakBefore/>
        <w:spacing w:after="300"/>
      </w:pPr>
      <w:r>
        <w:rPr>
          <w:rFonts w:ascii="Manrope" w:cs="Manrope" w:eastAsia="Manrope" w:hAnsi="Manrope"/>
          <w:b/>
          <w:bCs/>
          <w:color w:val="101828"/>
          <w:sz w:val="52"/>
          <w:szCs w:val="52"/>
        </w:rPr>
        <w:t xml:space="preserve">Contents</w:t>
      </w:r>
    </w:p>
    <w:p>
      <w:pPr>
        <w:keepNext/>
        <w:spacing w:after="40" w:before="150"/>
      </w:pPr>
      <w:r>
        <w:rPr>
          <w:rFonts w:ascii="Manrope" w:cs="Manrope" w:eastAsia="Manrope" w:hAnsi="Manrope"/>
          <w:b/>
          <w:bCs/>
          <w:color w:val="315BFF"/>
          <w:sz w:val="24"/>
          <w:szCs w:val="24"/>
        </w:rPr>
        <w:t xml:space="preserve">01   </w:t>
      </w:r>
      <w:r>
        <w:rPr>
          <w:rFonts w:ascii="Manrope" w:cs="Manrope" w:eastAsia="Manrope" w:hAnsi="Manrope"/>
          <w:b/>
          <w:bCs/>
          <w:color w:val="101828"/>
          <w:sz w:val="24"/>
          <w:szCs w:val="24"/>
        </w:rPr>
        <w:t xml:space="preserve">Offer Architecture</w:t>
      </w:r>
    </w:p>
    <w:p>
      <w:pPr>
        <w:spacing w:after="0" w:line="270"/>
        <w:ind w:left="560"/>
      </w:pPr>
      <w:r>
        <w:rPr>
          <w:rFonts w:ascii="Inter" w:hAnsi="Inter" w:eastAsia="Inter" w:cs="Inter"/>
          <w:color w:val="101828"/>
          <w:sz w:val="19"/>
          <w:szCs w:val="19"/>
        </w:rPr>
        <w:t xml:space="preserve">1.1 Service system</w:t>
      </w:r>
    </w:p>
    <w:p>
      <w:pPr>
        <w:spacing w:after="0" w:line="270"/>
        <w:ind w:left="560"/>
      </w:pPr>
      <w:r>
        <w:rPr>
          <w:rFonts w:ascii="Inter" w:hAnsi="Inter" w:eastAsia="Inter" w:cs="Inter"/>
          <w:color w:val="101828"/>
          <w:sz w:val="19"/>
          <w:szCs w:val="19"/>
        </w:rPr>
        <w:t xml:space="preserve">1.2 Launch menu</w:t>
      </w:r>
    </w:p>
    <w:p>
      <w:pPr>
        <w:spacing w:after="0" w:line="270"/>
        <w:ind w:left="560"/>
      </w:pPr>
      <w:r>
        <w:rPr>
          <w:rFonts w:ascii="Inter" w:hAnsi="Inter" w:eastAsia="Inter" w:cs="Inter"/>
          <w:color w:val="101828"/>
          <w:sz w:val="19"/>
          <w:szCs w:val="19"/>
        </w:rPr>
        <w:t xml:space="preserve">1.3 Agency Partner Program</w:t>
      </w:r>
    </w:p>
    <w:p>
      <w:pPr>
        <w:spacing w:after="0" w:line="270"/>
        <w:ind w:left="560"/>
      </w:pPr>
      <w:r>
        <w:rPr>
          <w:rFonts w:ascii="Inter" w:hAnsi="Inter" w:eastAsia="Inter" w:cs="Inter"/>
          <w:color w:val="101828"/>
          <w:sz w:val="19"/>
          <w:szCs w:val="19"/>
        </w:rPr>
        <w:t xml:space="preserve">1.4 Future expansion</w:t>
      </w:r>
    </w:p>
    <w:p>
      <w:pPr>
        <w:keepNext/>
        <w:spacing w:after="40" w:before="150"/>
      </w:pPr>
      <w:r>
        <w:rPr>
          <w:rFonts w:ascii="Manrope" w:cs="Manrope" w:eastAsia="Manrope" w:hAnsi="Manrope"/>
          <w:b/>
          <w:bCs/>
          <w:color w:val="315BFF"/>
          <w:sz w:val="24"/>
          <w:szCs w:val="24"/>
        </w:rPr>
        <w:t xml:space="preserve">02   </w:t>
      </w:r>
      <w:r>
        <w:rPr>
          <w:rFonts w:ascii="Manrope" w:cs="Manrope" w:eastAsia="Manrope" w:hAnsi="Manrope"/>
          <w:b/>
          <w:bCs/>
          <w:color w:val="101828"/>
          <w:sz w:val="24"/>
          <w:szCs w:val="24"/>
        </w:rPr>
        <w:t xml:space="preserve">Messaging System</w:t>
      </w:r>
    </w:p>
    <w:p>
      <w:pPr>
        <w:spacing w:after="0" w:line="270"/>
        <w:ind w:left="560"/>
      </w:pPr>
      <w:r>
        <w:rPr>
          <w:rFonts w:ascii="Inter" w:hAnsi="Inter" w:eastAsia="Inter" w:cs="Inter"/>
          <w:color w:val="101828"/>
          <w:sz w:val="19"/>
          <w:szCs w:val="19"/>
        </w:rPr>
        <w:t xml:space="preserve">2.1 Messaging hierarchy</w:t>
      </w:r>
    </w:p>
    <w:p>
      <w:pPr>
        <w:spacing w:after="0" w:line="270"/>
        <w:ind w:left="560"/>
      </w:pPr>
      <w:r>
        <w:rPr>
          <w:rFonts w:ascii="Inter" w:hAnsi="Inter" w:eastAsia="Inter" w:cs="Inter"/>
          <w:color w:val="101828"/>
          <w:sz w:val="19"/>
          <w:szCs w:val="19"/>
        </w:rPr>
        <w:t xml:space="preserve">2.2 Corporate messages</w:t>
      </w:r>
    </w:p>
    <w:p>
      <w:pPr>
        <w:spacing w:after="0" w:line="270"/>
        <w:ind w:left="560"/>
      </w:pPr>
      <w:r>
        <w:rPr>
          <w:rFonts w:ascii="Inter" w:hAnsi="Inter" w:eastAsia="Inter" w:cs="Inter"/>
          <w:color w:val="101828"/>
          <w:sz w:val="19"/>
          <w:szCs w:val="19"/>
        </w:rPr>
        <w:t xml:space="preserve">2.3 Agency messaging</w:t>
      </w:r>
    </w:p>
    <w:p>
      <w:pPr>
        <w:spacing w:after="0" w:line="270"/>
        <w:ind w:left="560"/>
      </w:pPr>
      <w:r>
        <w:rPr>
          <w:rFonts w:ascii="Inter" w:hAnsi="Inter" w:eastAsia="Inter" w:cs="Inter"/>
          <w:color w:val="101828"/>
          <w:sz w:val="19"/>
          <w:szCs w:val="19"/>
        </w:rPr>
        <w:t xml:space="preserve">2.4 Brand messaging</w:t>
      </w:r>
    </w:p>
    <w:p>
      <w:pPr>
        <w:spacing w:after="0" w:line="270"/>
        <w:ind w:left="560"/>
      </w:pPr>
      <w:r>
        <w:rPr>
          <w:rFonts w:ascii="Inter" w:hAnsi="Inter" w:eastAsia="Inter" w:cs="Inter"/>
          <w:color w:val="101828"/>
          <w:sz w:val="19"/>
          <w:szCs w:val="19"/>
        </w:rPr>
        <w:t xml:space="preserve">2.5 Training messaging</w:t>
      </w:r>
    </w:p>
    <w:p>
      <w:pPr>
        <w:spacing w:after="0" w:line="270"/>
        <w:ind w:left="560"/>
      </w:pPr>
      <w:r>
        <w:rPr>
          <w:rFonts w:ascii="Inter" w:hAnsi="Inter" w:eastAsia="Inter" w:cs="Inter"/>
          <w:color w:val="101828"/>
          <w:sz w:val="19"/>
          <w:szCs w:val="19"/>
        </w:rPr>
        <w:t xml:space="preserve">2.6 Claims and proof</w:t>
      </w:r>
    </w:p>
    <w:p>
      <w:pPr>
        <w:spacing w:after="0" w:line="270"/>
        <w:ind w:left="560"/>
      </w:pPr>
      <w:r>
        <w:rPr>
          <w:rFonts w:ascii="Inter" w:hAnsi="Inter" w:eastAsia="Inter" w:cs="Inter"/>
          <w:color w:val="101828"/>
          <w:sz w:val="19"/>
          <w:szCs w:val="19"/>
        </w:rPr>
        <w:t xml:space="preserve">2.7 Objection handling</w:t>
      </w:r>
    </w:p>
    <w:p>
      <w:pPr>
        <w:keepNext/>
        <w:spacing w:after="40" w:before="150"/>
      </w:pPr>
      <w:r>
        <w:rPr>
          <w:rFonts w:ascii="Manrope" w:cs="Manrope" w:eastAsia="Manrope" w:hAnsi="Manrope"/>
          <w:b/>
          <w:bCs/>
          <w:color w:val="315BFF"/>
          <w:sz w:val="24"/>
          <w:szCs w:val="24"/>
        </w:rPr>
        <w:t xml:space="preserve">03   </w:t>
      </w:r>
      <w:r>
        <w:rPr>
          <w:rFonts w:ascii="Manrope" w:cs="Manrope" w:eastAsia="Manrope" w:hAnsi="Manrope"/>
          <w:b/>
          <w:bCs/>
          <w:color w:val="101828"/>
          <w:sz w:val="24"/>
          <w:szCs w:val="24"/>
        </w:rPr>
        <w:t xml:space="preserve">Website and Content</w:t>
      </w:r>
    </w:p>
    <w:p>
      <w:pPr>
        <w:spacing w:after="0" w:line="270"/>
        <w:ind w:left="560"/>
      </w:pPr>
      <w:r>
        <w:rPr>
          <w:rFonts w:ascii="Inter" w:hAnsi="Inter" w:eastAsia="Inter" w:cs="Inter"/>
          <w:color w:val="101828"/>
          <w:sz w:val="19"/>
          <w:szCs w:val="19"/>
        </w:rPr>
        <w:t xml:space="preserve">3.1 Digital experience</w:t>
      </w:r>
    </w:p>
    <w:p>
      <w:pPr>
        <w:spacing w:after="0" w:line="270"/>
        <w:ind w:left="560"/>
      </w:pPr>
      <w:r>
        <w:rPr>
          <w:rFonts w:ascii="Inter" w:hAnsi="Inter" w:eastAsia="Inter" w:cs="Inter"/>
          <w:color w:val="101828"/>
          <w:sz w:val="19"/>
          <w:szCs w:val="19"/>
        </w:rPr>
        <w:t xml:space="preserve">3.2 Homepage</w:t>
      </w:r>
    </w:p>
    <w:p>
      <w:pPr>
        <w:spacing w:after="0" w:line="270"/>
        <w:ind w:left="560"/>
      </w:pPr>
      <w:r>
        <w:rPr>
          <w:rFonts w:ascii="Inter" w:hAnsi="Inter" w:eastAsia="Inter" w:cs="Inter"/>
          <w:color w:val="101828"/>
          <w:sz w:val="19"/>
          <w:szCs w:val="19"/>
        </w:rPr>
        <w:t xml:space="preserve">3.3 For Agencies page</w:t>
      </w:r>
    </w:p>
    <w:p>
      <w:pPr>
        <w:spacing w:after="0" w:line="270"/>
        <w:ind w:left="560"/>
      </w:pPr>
      <w:r>
        <w:rPr>
          <w:rFonts w:ascii="Inter" w:hAnsi="Inter" w:eastAsia="Inter" w:cs="Inter"/>
          <w:color w:val="101828"/>
          <w:sz w:val="19"/>
          <w:szCs w:val="19"/>
        </w:rPr>
        <w:t xml:space="preserve">3.4 For Brands page</w:t>
      </w:r>
    </w:p>
    <w:p>
      <w:pPr>
        <w:spacing w:after="0" w:line="270"/>
        <w:ind w:left="560"/>
      </w:pPr>
      <w:r>
        <w:rPr>
          <w:rFonts w:ascii="Inter" w:hAnsi="Inter" w:eastAsia="Inter" w:cs="Inter"/>
          <w:color w:val="101828"/>
          <w:sz w:val="19"/>
          <w:szCs w:val="19"/>
        </w:rPr>
        <w:t xml:space="preserve">3.5 Training page</w:t>
      </w:r>
    </w:p>
    <w:p>
      <w:pPr>
        <w:spacing w:after="0" w:line="270"/>
        <w:ind w:left="560"/>
      </w:pPr>
      <w:r>
        <w:rPr>
          <w:rFonts w:ascii="Inter" w:hAnsi="Inter" w:eastAsia="Inter" w:cs="Inter"/>
          <w:color w:val="101828"/>
          <w:sz w:val="19"/>
          <w:szCs w:val="19"/>
        </w:rPr>
        <w:t>3.6 Proof and case studies</w:t>
      </w:r>
    </w:p>
    <w:p>
      <w:pPr>
        <w:spacing w:after="0" w:line="270"/>
        <w:ind w:left="560"/>
      </w:pPr>
      <w:r>
        <w:rPr>
          <w:rFonts w:ascii="Inter" w:hAnsi="Inter" w:eastAsia="Inter" w:cs="Inter"/>
          <w:color w:val="101828"/>
          <w:sz w:val="19"/>
          <w:szCs w:val="19"/>
        </w:rPr>
        <w:t>3.7 About page</w:t>
      </w:r>
    </w:p>
    <w:p>
      <w:pPr>
        <w:spacing w:after="0" w:line="270"/>
        <w:ind w:left="560"/>
      </w:pPr>
      <w:r>
        <w:rPr>
          <w:rFonts w:ascii="Inter" w:hAnsi="Inter" w:eastAsia="Inter" w:cs="Inter"/>
          <w:color w:val="101828"/>
        </w:rPr>
        <w:t>3.8 Content and thought leadership</w:t>
      </w:r>
    </w:p>
    <w:p>
      <w:pPr>
        <w:spacing w:after="0" w:line="270"/>
        <w:ind w:left="560"/>
      </w:pPr>
      <w:r>
        <w:rPr>
          <w:rFonts w:ascii="Inter" w:hAnsi="Inter" w:eastAsia="Inter" w:cs="Inter"/>
          <w:color w:val="101828"/>
        </w:rPr>
        <w:t>3.9 Profiles, email and decks</w:t>
      </w:r>
    </w:p>
    <w:p>
      <w:pPr>
        <w:keepNext/>
        <w:spacing w:after="40" w:before="150"/>
      </w:pPr>
      <w:r>
        <w:rPr>
          <w:rFonts w:ascii="Manrope" w:cs="Manrope" w:eastAsia="Manrope" w:hAnsi="Manrope"/>
          <w:b/>
          <w:bCs/>
          <w:color w:val="315BFF"/>
          <w:sz w:val="24"/>
          <w:szCs w:val="24"/>
        </w:rPr>
        <w:t xml:space="preserve">04   </w:t>
      </w:r>
      <w:r>
        <w:rPr>
          <w:rFonts w:ascii="Manrope" w:cs="Manrope" w:eastAsia="Manrope" w:hAnsi="Manrope"/>
          <w:b/>
          <w:bCs/>
          <w:color w:val="101828"/>
          <w:sz w:val="24"/>
          <w:szCs w:val="24"/>
        </w:rPr>
        <w:t xml:space="preserve">Sales and Commercial Experience</w:t>
      </w:r>
    </w:p>
    <w:p>
      <w:pPr>
        <w:spacing w:after="0" w:line="270"/>
        <w:ind w:left="560"/>
      </w:pPr>
      <w:r>
        <w:rPr>
          <w:rFonts w:ascii="Inter" w:hAnsi="Inter" w:eastAsia="Inter" w:cs="Inter"/>
          <w:color w:val="101828"/>
          <w:sz w:val="19"/>
          <w:szCs w:val="19"/>
        </w:rPr>
        <w:t xml:space="preserve">4.1 Customer journey</w:t>
      </w:r>
    </w:p>
    <w:p>
      <w:pPr>
        <w:spacing w:after="0" w:line="270"/>
        <w:ind w:left="560"/>
      </w:pPr>
      <w:r>
        <w:rPr>
          <w:rFonts w:ascii="Inter" w:hAnsi="Inter" w:eastAsia="Inter" w:cs="Inter"/>
          <w:color w:val="101828"/>
          <w:sz w:val="19"/>
          <w:szCs w:val="19"/>
        </w:rPr>
        <w:t xml:space="preserve">4.2 Discovery and qualification</w:t>
      </w:r>
    </w:p>
    <w:p>
      <w:pPr>
        <w:spacing w:after="0" w:line="270"/>
        <w:ind w:left="560"/>
      </w:pPr>
      <w:r>
        <w:rPr>
          <w:rFonts w:ascii="Inter" w:hAnsi="Inter" w:eastAsia="Inter" w:cs="Inter"/>
          <w:color w:val="101828"/>
          <w:sz w:val="19"/>
          <w:szCs w:val="19"/>
        </w:rPr>
        <w:t xml:space="preserve">4.3 Diagnostic as the entry offer</w:t>
      </w:r>
    </w:p>
    <w:p>
      <w:pPr>
        <w:spacing w:after="0" w:line="270"/>
        <w:ind w:left="560"/>
      </w:pPr>
      <w:r>
        <w:rPr>
          <w:rFonts w:ascii="Inter" w:hAnsi="Inter" w:eastAsia="Inter" w:cs="Inter"/>
          <w:color w:val="101828"/>
          <w:sz w:val="19"/>
          <w:szCs w:val="19"/>
        </w:rPr>
        <w:t xml:space="preserve">4.4 Proposal standard</w:t>
      </w:r>
    </w:p>
    <w:p>
      <w:pPr>
        <w:spacing w:after="0" w:line="270"/>
        <w:ind w:left="560"/>
      </w:pPr>
      <w:r>
        <w:rPr>
          <w:rFonts w:ascii="Inter" w:hAnsi="Inter" w:eastAsia="Inter" w:cs="Inter"/>
          <w:color w:val="101828"/>
          <w:sz w:val="19"/>
          <w:szCs w:val="19"/>
        </w:rPr>
        <w:t xml:space="preserve">4.5 Pricing principles</w:t>
      </w:r>
    </w:p>
    <w:p>
      <w:pPr>
        <w:spacing w:after="0" w:line="270"/>
        <w:ind w:left="560"/>
      </w:pPr>
      <w:r>
        <w:rPr>
          <w:rFonts w:ascii="Inter" w:hAnsi="Inter" w:eastAsia="Inter" w:cs="Inter"/>
          <w:color w:val="101828"/>
          <w:sz w:val="19"/>
          <w:szCs w:val="19"/>
        </w:rPr>
        <w:t xml:space="preserve">4.6 Agency partner experience</w:t>
      </w:r>
    </w:p>
    <w:p>
      <w:pPr>
        <w:keepNext/>
        <w:spacing w:after="40" w:before="150"/>
      </w:pPr>
      <w:r>
        <w:rPr>
          <w:rFonts w:ascii="Manrope" w:cs="Manrope" w:eastAsia="Manrope" w:hAnsi="Manrope"/>
          <w:b/>
          <w:bCs/>
          <w:color w:val="315BFF"/>
          <w:sz w:val="24"/>
          <w:szCs w:val="24"/>
        </w:rPr>
        <w:t xml:space="preserve">05   </w:t>
      </w:r>
      <w:r>
        <w:rPr>
          <w:rFonts w:ascii="Manrope" w:cs="Manrope" w:eastAsia="Manrope" w:hAnsi="Manrope"/>
          <w:b/>
          <w:bCs/>
          <w:color w:val="101828"/>
          <w:sz w:val="24"/>
          <w:szCs w:val="24"/>
        </w:rPr>
        <w:t xml:space="preserve">Launch Roadmap</w:t>
      </w:r>
    </w:p>
    <w:p>
      <w:pPr>
        <w:spacing w:after="0" w:line="270"/>
        <w:ind w:left="560"/>
      </w:pPr>
      <w:r>
        <w:rPr>
          <w:rFonts w:ascii="Inter" w:hAnsi="Inter" w:eastAsia="Inter" w:cs="Inter"/>
          <w:color w:val="101828"/>
          <w:sz w:val="19"/>
          <w:szCs w:val="19"/>
        </w:rPr>
        <w:t xml:space="preserve">5.1 Roadmap</w:t>
      </w:r>
    </w:p>
    <w:p>
      <w:pPr>
        <w:spacing w:after="0" w:line="270"/>
        <w:ind w:left="560"/>
      </w:pPr>
      <w:r>
        <w:rPr>
          <w:rFonts w:ascii="Inter" w:hAnsi="Inter" w:eastAsia="Inter" w:cs="Inter"/>
          <w:color w:val="101828"/>
          <w:sz w:val="19"/>
          <w:szCs w:val="19"/>
        </w:rPr>
        <w:t xml:space="preserve">5.2 Launch scorecard</w:t>
      </w:r>
    </w:p>
    <w:p>
      <w:pPr>
        <w:keepNext/>
        <w:spacing w:after="40" w:before="150"/>
      </w:pPr>
      <w:r>
        <w:rPr>
          <w:rFonts w:ascii="Manrope" w:cs="Manrope" w:eastAsia="Manrope" w:hAnsi="Manrope"/>
          <w:b/>
          <w:bCs/>
          <w:color w:val="315BFF"/>
          <w:sz w:val="24"/>
          <w:szCs w:val="24"/>
        </w:rPr>
        <w:t xml:space="preserve">06   </w:t>
      </w:r>
      <w:r>
        <w:rPr>
          <w:rFonts w:ascii="Manrope" w:cs="Manrope" w:eastAsia="Manrope" w:hAnsi="Manrope"/>
          <w:b/>
          <w:bCs/>
          <w:color w:val="101828"/>
          <w:sz w:val="24"/>
          <w:szCs w:val="24"/>
        </w:rPr>
        <w:t xml:space="preserve">Ready-to-use Copy</w:t>
      </w:r>
    </w:p>
    <w:p>
      <w:pPr>
        <w:spacing w:after="0" w:line="270"/>
        <w:ind w:left="560"/>
      </w:pPr>
      <w:r>
        <w:rPr>
          <w:rFonts w:ascii="Inter" w:hAnsi="Inter" w:eastAsia="Inter" w:cs="Inter"/>
          <w:color w:val="101828"/>
          <w:sz w:val="19"/>
          <w:szCs w:val="19"/>
        </w:rPr>
        <w:t xml:space="preserve">Appendix A</w:t>
      </w:r>
    </w:p>
    <w:p>
      <w:pPr>
        <w:spacing w:after="0" w:line="270"/>
        <w:ind w:left="560"/>
      </w:pPr>
      <w:r>
        <w:rPr>
          <w:rFonts w:ascii="Inter" w:hAnsi="Inter" w:eastAsia="Inter" w:cs="Inter"/>
          <w:color w:val="101828"/>
          <w:sz w:val="19"/>
          <w:szCs w:val="19"/>
        </w:rPr>
        <w:t xml:space="preserve">Appendix B</w:t>
      </w:r>
    </w:p>
    <w:p>
      <w:pPr>
        <w:spacing w:after="0" w:line="270"/>
        <w:ind w:left="560"/>
      </w:pPr>
      <w:r>
        <w:rPr>
          <w:rFonts w:ascii="Inter" w:hAnsi="Inter" w:eastAsia="Inter" w:cs="Inter"/>
          <w:color w:val="101828"/>
          <w:sz w:val="19"/>
          <w:szCs w:val="19"/>
        </w:rPr>
        <w:t xml:space="preserve">Appendix C</w:t>
      </w:r>
    </w:p>
    <w:p>
      <w:pPr>
        <w:pageBreakBefore/>
        <w:spacing w:after="0" w:before="1800"/>
      </w:pPr>
    </w:p>
    <w:tbl>
      <w:tblPr>
        <w:tblW w:type="dxa" w:w="2600"/>
        <w:jc w:val="left"/>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
        <w:gridCol w:w="1880"/>
        <w:gridCol w:w="360"/>
      </w:tblGrid>
      <w:tr>
        <w:trPr>
          <w:trHeight w:val="260" w:hRule="exact"/>
          <w:tblHeader w:val="true"/>
          <w:cantSplit/>
        </w:trPr>
        <w:tc>
          <w:tcPr>
            <w:tcW w:type="dxa" w:w="360"/>
            <w:tcBorders>
              <w:top w:val="single" w:color="315BFF" w:sz="20"/>
              <w:left w:val="single" w:color="315BFF" w:sz="20"/>
              <w:bottom w:val="none" w:color="FFFFFF" w:sz="0"/>
              <w:right w:val="none" w:color="FFFFFF" w:sz="0"/>
            </w:tcBorders>
            <w:tcMar>
              <w:top w:type="dxa" w:w="0"/>
              <w:left w:type="dxa" w:w="0"/>
              <w:bottom w:type="dxa" w:w="0"/>
              <w:right w:type="dxa" w:w="0"/>
            </w:tcMar>
          </w:tcPr>
          <w:p>
            <w:pPr>
              <w:spacing w:after="0" w:line="20" w:lineRule="exact"/>
            </w:pPr>
            <w:r>
              <w:rPr>
                <w:sz w:val="2"/>
                <w:szCs w:val="2"/>
              </w:rPr>
              <w:t xml:space="preserve"/>
            </w:r>
          </w:p>
        </w:tc>
        <w:tc>
          <w:tcPr>
            <w:tcW w:type="dxa" w:w="1880"/>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line="20" w:lineRule="exact"/>
            </w:pPr>
            <w:r>
              <w:rPr>
                <w:sz w:val="2"/>
                <w:szCs w:val="2"/>
              </w:rPr>
              <w:t xml:space="preserve"/>
            </w:r>
          </w:p>
        </w:tc>
        <w:tc>
          <w:tcPr>
            <w:tcW w:type="dxa" w:w="360"/>
            <w:tcBorders>
              <w:top w:val="single" w:color="315BFF" w:sz="20"/>
              <w:left w:val="none" w:color="FFFFFF" w:sz="0"/>
              <w:bottom w:val="none" w:color="FFFFFF" w:sz="0"/>
              <w:right w:val="single" w:color="315BFF" w:sz="20"/>
            </w:tcBorders>
            <w:tcMar>
              <w:top w:type="dxa" w:w="0"/>
              <w:left w:type="dxa" w:w="0"/>
              <w:bottom w:type="dxa" w:w="0"/>
              <w:right w:type="dxa" w:w="0"/>
            </w:tcMar>
          </w:tcPr>
          <w:p>
            <w:pPr>
              <w:spacing w:after="0" w:line="20" w:lineRule="exact"/>
            </w:pPr>
            <w:r>
              <w:rPr>
                <w:sz w:val="2"/>
                <w:szCs w:val="2"/>
              </w:rPr>
              <w:t xml:space="preserve"/>
            </w:r>
          </w:p>
        </w:tc>
      </w:tr>
      <w:tr>
        <w:trPr>
          <w:cantSplit/>
        </w:trPr>
        <w:tc>
          <w:tcPr>
            <w:tcW w:type="dxa" w:w="360"/>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line="20" w:lineRule="exact"/>
            </w:pPr>
            <w:r>
              <w:rPr>
                <w:sz w:val="2"/>
                <w:szCs w:val="2"/>
              </w:rPr>
              <w:t xml:space="preserve"/>
            </w:r>
          </w:p>
        </w:tc>
        <w:tc>
          <w:tcPr>
            <w:tcW w:type="dxa" w:w="1880"/>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1400" w:lineRule="exact"/>
              <w:jc w:val="center"/>
            </w:pPr>
            <w:r>
              <w:rPr>
                <w:rFonts w:ascii="Manrope" w:cs="Manrope" w:eastAsia="Manrope" w:hAnsi="Manrope"/>
                <w:b/>
                <w:bCs/>
                <w:color w:val="315BFF"/>
                <w:sz w:val="120"/>
                <w:szCs w:val="120"/>
              </w:rPr>
              <w:t xml:space="preserve">01</w:t>
            </w:r>
          </w:p>
        </w:tc>
        <w:tc>
          <w:tcPr>
            <w:tcW w:type="dxa" w:w="360"/>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line="20" w:lineRule="exact"/>
            </w:pPr>
            <w:r>
              <w:rPr>
                <w:sz w:val="2"/>
                <w:szCs w:val="2"/>
              </w:rPr>
              <w:t xml:space="preserve"/>
            </w:r>
          </w:p>
        </w:tc>
      </w:tr>
      <w:tr>
        <w:trPr>
          <w:trHeight w:val="260" w:hRule="exact"/>
          <w:cantSplit/>
        </w:trPr>
        <w:tc>
          <w:tcPr>
            <w:tcW w:type="dxa" w:w="360"/>
            <w:tcBorders>
              <w:top w:val="none" w:color="FFFFFF" w:sz="0"/>
              <w:left w:val="single" w:color="315BFF" w:sz="20"/>
              <w:bottom w:val="single" w:color="315BFF" w:sz="20"/>
              <w:right w:val="none" w:color="FFFFFF" w:sz="0"/>
            </w:tcBorders>
            <w:tcMar>
              <w:top w:type="dxa" w:w="0"/>
              <w:left w:type="dxa" w:w="0"/>
              <w:bottom w:type="dxa" w:w="0"/>
              <w:right w:type="dxa" w:w="0"/>
            </w:tcMar>
          </w:tcPr>
          <w:p>
            <w:pPr>
              <w:spacing w:after="0" w:line="20" w:lineRule="exact"/>
            </w:pPr>
            <w:r>
              <w:rPr>
                <w:sz w:val="2"/>
                <w:szCs w:val="2"/>
              </w:rPr>
              <w:t xml:space="preserve"/>
            </w:r>
          </w:p>
        </w:tc>
        <w:tc>
          <w:tcPr>
            <w:tcW w:type="dxa" w:w="1880"/>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line="20" w:lineRule="exact"/>
            </w:pPr>
            <w:r>
              <w:rPr>
                <w:sz w:val="2"/>
                <w:szCs w:val="2"/>
              </w:rPr>
              <w:t xml:space="preserve"/>
            </w:r>
          </w:p>
        </w:tc>
        <w:tc>
          <w:tcPr>
            <w:tcW w:type="dxa" w:w="360"/>
            <w:tcBorders>
              <w:top w:val="none" w:color="FFFFFF" w:sz="0"/>
              <w:left w:val="none" w:color="FFFFFF" w:sz="0"/>
              <w:bottom w:val="single" w:color="315BFF" w:sz="20"/>
              <w:right w:val="single" w:color="315BFF" w:sz="20"/>
            </w:tcBorders>
            <w:tcMar>
              <w:top w:type="dxa" w:w="0"/>
              <w:left w:type="dxa" w:w="0"/>
              <w:bottom w:type="dxa" w:w="0"/>
              <w:right w:type="dxa" w:w="0"/>
            </w:tcMar>
          </w:tcPr>
          <w:p>
            <w:pPr>
              <w:spacing w:after="0" w:line="20" w:lineRule="exact"/>
            </w:pPr>
            <w:r>
              <w:rPr>
                <w:sz w:val="2"/>
                <w:szCs w:val="2"/>
              </w:rPr>
              <w:t xml:space="preserve"/>
            </w:r>
          </w:p>
        </w:tc>
      </w:tr>
    </w:tbl>
    <w:p>
      <w:pPr>
        <w:pStyle w:val="Heading1"/>
        <w:keepNext/>
        <w:keepLines/>
        <w:widowControl/>
        <w:spacing w:after="200" w:before="360"/>
      </w:pPr>
      <w:r>
        <w:rPr>
          <w:rFonts w:ascii="Manrope" w:hAnsi="Manrope" w:eastAsia="Manrope" w:cs="Manrope"/>
          <w:color w:val="101828"/>
        </w:rPr>
        <w:t xml:space="preserve">Offer Architecture</w:t>
      </w:r>
    </w:p>
    <w:p>
      <w:pPr>
        <w:pBdr>
          <w:bottom w:val="single" w:color="3FAF8F" w:sz="18" w:space="1"/>
        </w:pBdr>
        <w:spacing w:after="300"/>
        <w:ind w:right="7200"/>
      </w:pPr>
    </w:p>
    <w:p>
      <w:pPr>
        <w:spacing w:after="400" w:line="380"/>
      </w:pPr>
      <w:r>
        <w:rPr>
          <w:rFonts w:ascii="Source Serif 4" w:cs="Source Serif 4" w:eastAsia="Source Serif 4" w:hAnsi="Source Serif 4"/>
          <w:i/>
          <w:iCs/>
          <w:color w:val="101828"/>
          <w:sz w:val="30"/>
          <w:szCs w:val="30"/>
        </w:rPr>
        <w:t xml:space="preserve">A coherent system that lets clients buy execution, collaboration or capability, with training present from the first day.</w:t>
      </w:r>
    </w:p>
    <w:p>
      <w:pPr>
        <w:keepNext/>
        <w:spacing w:after="40" w:before="360"/>
      </w:pPr>
      <w:r>
        <w:rPr>
          <w:rFonts w:ascii="Inter" w:hAnsi="Inter" w:eastAsia="Inter" w:cs="Inter"/>
          <w:b/>
          <w:bCs/>
          <w:color w:val="315BFF"/>
          <w:spacing w:val="20"/>
          <w:sz w:val="16"/>
          <w:szCs w:val="16"/>
        </w:rPr>
        <w:t xml:space="preserve">1.1 SERVICE SYSTEM</w:t>
      </w:r>
    </w:p>
    <w:p>
      <w:pPr>
        <w:pStyle w:val="Heading2"/>
        <w:keepNext/>
        <w:keepLines/>
        <w:widowControl/>
        <w:spacing w:before="0"/>
      </w:pPr>
      <w:r>
        <w:rPr>
          <w:rFonts w:ascii="Manrope" w:hAnsi="Manrope" w:eastAsia="Manrope" w:cs="Manrope"/>
          <w:color w:val="101828"/>
        </w:rPr>
        <w:t>Two standalone launch families, one combined growth system</w:t>
      </w:r>
    </w:p>
    <w:p>
      <w:pPr>
        <w:spacing w:after="140"/>
      </w:pPr>
      <w:r>
        <w:rPr>
          <w:rFonts w:ascii="Inter" w:hAnsi="Inter" w:eastAsia="Inter" w:cs="Inter"/>
          <w:color w:val="101828"/>
        </w:rPr>
        <w:t>ADelier launches with two equal commercial product families: Marketplace Delivery and Training and Team Enablement. Marketplace Transformation is not a third catalogue of launch offers; it is the combined form used when a client needs diagnosis, implementation, workflow redesign, training, governance and scaling together.</w:t>
      </w:r>
    </w:p>
    <w:tbl>
      <w:tblPr>
        <w:tblW w:type="dxa" w:w="9360"/>
        <w:tblBorders>
          <w:top w:val="nil" w:color="D9DEE8" w:sz="4"/>
          <w:left w:val="none" w:color="FFFFFF" w:sz="0"/>
          <w:bottom w:val="single" w:color="D9DEE8" w:sz="5" w:space="0"/>
          <w:right w:val="none" w:color="FFFFFF" w:sz="0"/>
          <w:insideH w:val="single" w:color="D9DEE8" w:sz="5" w:space="0"/>
          <w:insideV w:val="nil" w:color="FFFFFF" w:sz="0"/>
          <w:start w:val="nil"/>
          <w:end w:val="nil"/>
        </w:tblBorders>
        <w:tblLayout w:type="fixed"/>
      </w:tblPr>
      <w:tblGrid>
        <w:gridCol w:w="2246"/>
        <w:gridCol w:w="2995"/>
        <w:gridCol w:w="4119"/>
      </w:tblGrid>
      <w:tr>
        <w:trPr>
          <w:cantSplit/>
          <w:tblHeader w:val="true"/>
        </w:trPr>
        <w:tc>
          <w:tcPr>
            <w:tcW w:type="dxa" w:w="2246"/>
            <w:shd w:fill="101828" w:color="auto" w:val="clear"/>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FFFFFF"/>
                <w:sz w:val="18"/>
                <w:szCs w:val="18"/>
              </w:rPr>
              <w:t>Product family</w:t>
            </w:r>
          </w:p>
        </w:tc>
        <w:tc>
          <w:tcPr>
            <w:tcW w:type="dxa" w:w="2995"/>
            <w:shd w:fill="101828" w:color="auto" w:val="clear"/>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FFFFFF"/>
                <w:sz w:val="18"/>
                <w:szCs w:val="18"/>
              </w:rPr>
              <w:t xml:space="preserve">Purpose</w:t>
            </w:r>
          </w:p>
        </w:tc>
        <w:tc>
          <w:tcPr>
            <w:tcW w:type="dxa" w:w="4119"/>
            <w:shd w:fill="101828" w:color="auto" w:val="clear"/>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FFFFFF"/>
                <w:sz w:val="18"/>
                <w:szCs w:val="18"/>
              </w:rPr>
              <w:t xml:space="preserve">Typical work</w:t>
            </w:r>
          </w:p>
        </w:tc>
      </w:tr>
      <w:tr>
        <w:trPr>
          <w:cantSplit/>
          <w:tblHeader w:val="false"/>
        </w:trPr>
        <w:tc>
          <w:tcPr>
            <w:tcW w:type="dxa" w:w="2246"/>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101828"/>
                <w:sz w:val="18"/>
                <w:szCs w:val="18"/>
              </w:rPr>
              <w:t>Marketplace Delivery</w:t>
            </w:r>
          </w:p>
        </w:tc>
        <w:tc>
          <w:tcPr>
            <w:tcW w:type="dxa" w:w="2995"/>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Complete high-quality marketplace work for agencies and brands</w:t>
            </w:r>
          </w:p>
        </w:tc>
        <w:tc>
          <w:tcPr>
            <w:tcW w:type="dxa" w:w="4119"/>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Marketplace Growth Diagnostic, Position-to-Conversion Sprint and White-Label Listing and Conversion Pod</w:t>
            </w:r>
          </w:p>
        </w:tc>
      </w:tr>
      <w:tr>
        <w:trPr>
          <w:cantSplit/>
          <w:tblHeader w:val="false"/>
        </w:trPr>
        <w:tc>
          <w:tcPr>
            <w:tcW w:type="dxa" w:w="2246"/>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101828"/>
                <w:sz w:val="18"/>
                <w:szCs w:val="18"/>
              </w:rPr>
              <w:t>Training and Team Enablement</w:t>
            </w:r>
          </w:p>
        </w:tc>
        <w:tc>
          <w:tcPr>
            <w:tcW w:type="dxa" w:w="2995"/>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Build individual, team and agency capability through paid standalone programs</w:t>
            </w:r>
          </w:p>
        </w:tc>
        <w:tc>
          <w:tcPr>
            <w:tcW w:type="dxa" w:w="4119"/>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Amazon Conversion Foundations and Agency Marketplace Enablement</w:t>
            </w:r>
          </w:p>
        </w:tc>
      </w:tr>
      <w:tr>
        <w:trPr>
          <w:cantSplit/>
          <w:tblHeader w:val="false"/>
        </w:trPr>
        <w:tc>
          <w:tcPr>
            <w:tcW w:type="dxa" w:w="2246"/>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101828"/>
                <w:sz w:val="18"/>
                <w:szCs w:val="18"/>
              </w:rPr>
              <w:t>Marketplace Transformation</w:t>
            </w:r>
          </w:p>
        </w:tc>
        <w:tc>
          <w:tcPr>
            <w:tcW w:type="dxa" w:w="2995"/>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Combine delivery, workflow redesign, training, measurement, ownership transfer and scaling</w:t>
            </w:r>
          </w:p>
        </w:tc>
        <w:tc>
          <w:tcPr>
            <w:tcW w:type="dxa" w:w="4119"/>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Introduced after sufficient proof and client demand; not a primary launch catalogue</w:t>
            </w:r>
          </w:p>
        </w:tc>
      </w:tr>
    </w:tbl>
    <w:p>
      <w:pPr>
        <w:spacing w:after="160" w:before="0"/>
      </w:pPr>
    </w:p>
    <w:tbl>
      <w:tblPr>
        <w:tblW w:type="dxa" w:w="9360"/>
        <w:tblBorders>
          <w:top w:val="nil" w:color="D9DEE8" w:sz="4"/>
          <w:left w:val="none" w:color="FFFFFF" w:sz="0"/>
          <w:bottom w:val="single" w:color="D9DEE8" w:sz="5" w:space="0"/>
          <w:right w:val="none" w:color="FFFFFF" w:sz="0"/>
          <w:insideH w:val="single" w:color="D9DEE8" w:sz="5" w:space="0"/>
          <w:insideV w:val="nil" w:color="FFFFFF" w:sz="0"/>
          <w:start w:val="nil"/>
          <w:end w:val="nil"/>
        </w:tblBorders>
        <w:tblLayout w:type="fixed"/>
      </w:tblPr>
      <w:tblGrid>
        <w:gridCol w:w="2059"/>
        <w:gridCol w:w="1498"/>
        <w:gridCol w:w="3182"/>
        <w:gridCol w:w="2621"/>
      </w:tblGrid>
      <w:tr>
        <w:trPr>
          <w:cantSplit/>
          <w:tblHeader w:val="true"/>
        </w:trPr>
        <w:tc>
          <w:tcPr>
            <w:tcW w:type="dxa" w:w="2059"/>
            <w:shd w:fill="101828" w:color="auto" w:val="clear"/>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FFFFFF"/>
                <w:sz w:val="18"/>
                <w:szCs w:val="18"/>
              </w:rPr>
              <w:t xml:space="preserve">Delivery mode</w:t>
            </w:r>
          </w:p>
        </w:tc>
        <w:tc>
          <w:tcPr>
            <w:tcW w:type="dxa" w:w="1498"/>
            <w:shd w:fill="101828" w:color="auto" w:val="clear"/>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FFFFFF"/>
                <w:sz w:val="18"/>
                <w:szCs w:val="18"/>
              </w:rPr>
              <w:t xml:space="preserve">In the client's words</w:t>
            </w:r>
          </w:p>
        </w:tc>
        <w:tc>
          <w:tcPr>
            <w:tcW w:type="dxa" w:w="3182"/>
            <w:shd w:fill="101828" w:color="auto" w:val="clear"/>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FFFFFF"/>
                <w:sz w:val="18"/>
                <w:szCs w:val="18"/>
              </w:rPr>
              <w:t xml:space="preserve">When it fits</w:t>
            </w:r>
          </w:p>
        </w:tc>
        <w:tc>
          <w:tcPr>
            <w:tcW w:type="dxa" w:w="2621"/>
            <w:shd w:fill="101828" w:color="auto" w:val="clear"/>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FFFFFF"/>
                <w:sz w:val="18"/>
                <w:szCs w:val="18"/>
              </w:rPr>
              <w:t xml:space="preserve">Commercial form</w:t>
            </w:r>
          </w:p>
        </w:tc>
      </w:tr>
      <w:tr>
        <w:trPr>
          <w:cantSplit/>
          <w:tblHeader w:val="false"/>
        </w:trPr>
        <w:tc>
          <w:tcPr>
            <w:tcW w:type="dxa" w:w="2059"/>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101828"/>
                <w:sz w:val="18"/>
                <w:szCs w:val="18"/>
              </w:rPr>
              <w:t xml:space="preserve">ADelier Delivers</w:t>
            </w:r>
          </w:p>
        </w:tc>
        <w:tc>
          <w:tcPr>
            <w:tcW w:type="dxa" w:w="1498"/>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Do it for us.</w:t>
            </w:r>
          </w:p>
        </w:tc>
        <w:tc>
          <w:tcPr>
            <w:tcW w:type="dxa" w:w="3182"/>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The client lacks capacity or specialist capability and wants accountable output</w:t>
            </w:r>
          </w:p>
        </w:tc>
        <w:tc>
          <w:tcPr>
            <w:tcW w:type="dxa" w:w="2621"/>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Project fee, recurring pod or managed-service retainer</w:t>
            </w:r>
          </w:p>
        </w:tc>
      </w:tr>
      <w:tr>
        <w:trPr>
          <w:cantSplit/>
          <w:tblHeader w:val="false"/>
        </w:trPr>
        <w:tc>
          <w:tcPr>
            <w:tcW w:type="dxa" w:w="2059"/>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101828"/>
                <w:sz w:val="18"/>
                <w:szCs w:val="18"/>
              </w:rPr>
              <w:t xml:space="preserve">ADelier Co-builds</w:t>
            </w:r>
          </w:p>
        </w:tc>
        <w:tc>
          <w:tcPr>
            <w:tcW w:type="dxa" w:w="1498"/>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Build it with us.</w:t>
            </w:r>
          </w:p>
        </w:tc>
        <w:tc>
          <w:tcPr>
            <w:tcW w:type="dxa" w:w="3182"/>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The client wants shared ownership, implementation speed and internal learning</w:t>
            </w:r>
          </w:p>
        </w:tc>
        <w:tc>
          <w:tcPr>
            <w:tcW w:type="dxa" w:w="2621"/>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Sprint, embedded specialist or transformation program</w:t>
            </w:r>
          </w:p>
        </w:tc>
      </w:tr>
      <w:tr>
        <w:trPr>
          <w:cantSplit/>
          <w:tblHeader w:val="false"/>
        </w:trPr>
        <w:tc>
          <w:tcPr>
            <w:tcW w:type="dxa" w:w="2059"/>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101828"/>
                <w:sz w:val="18"/>
                <w:szCs w:val="18"/>
              </w:rPr>
              <w:t xml:space="preserve">ADelier Enables</w:t>
            </w:r>
          </w:p>
        </w:tc>
        <w:tc>
          <w:tcPr>
            <w:tcW w:type="dxa" w:w="1498"/>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Teach our team.</w:t>
            </w:r>
          </w:p>
        </w:tc>
        <w:tc>
          <w:tcPr>
            <w:tcW w:type="dxa" w:w="3182"/>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The client wants repeatable internal capability and reduced dependence</w:t>
            </w:r>
          </w:p>
        </w:tc>
        <w:tc>
          <w:tcPr>
            <w:tcW w:type="dxa" w:w="2621"/>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Workshop, cohort, coaching program or train-the-trainer</w:t>
            </w:r>
          </w:p>
        </w:tc>
      </w:tr>
    </w:tbl>
    <w:p>
      <w:pPr>
        <w:spacing w:after="160" w:before="0"/>
      </w:pPr>
    </w:p>
    <w:p>
      <w:pPr>
        <w:spacing w:after="140"/>
      </w:pPr>
      <w:r>
        <w:rPr>
          <w:rFonts w:ascii="Inter" w:hAnsi="Inter" w:eastAsia="Inter" w:cs="Inter"/>
          <w:color w:val="101828"/>
        </w:rPr>
        <w:t>Product family describes what the client buys. Delivery mode describes how ADelier and the client divide responsibility. "Enable" remains a Choice System stage, while "ADelier Enables" is the delivery mode used when capability transfer is the primary form of engagement.</w:t>
      </w:r>
    </w:p>
    <w:p>
      <w:pPr>
        <w:keepNext/>
        <w:spacing w:after="40" w:before="360"/>
      </w:pPr>
      <w:r>
        <w:rPr>
          <w:rFonts w:ascii="Inter" w:hAnsi="Inter" w:eastAsia="Inter" w:cs="Inter"/>
          <w:b/>
          <w:bCs/>
          <w:color w:val="315BFF"/>
          <w:spacing w:val="20"/>
          <w:sz w:val="16"/>
          <w:szCs w:val="16"/>
        </w:rPr>
        <w:t xml:space="preserve">1.2 LAUNCH MENU</w:t>
      </w:r>
    </w:p>
    <w:p>
      <w:pPr>
        <w:pStyle w:val="Heading2"/>
        <w:keepNext/>
        <w:keepLines/>
        <w:widowControl/>
        <w:spacing w:before="0"/>
      </w:pPr>
      <w:r>
        <w:rPr>
          <w:rFonts w:ascii="Manrope" w:hAnsi="Manrope" w:eastAsia="Manrope" w:cs="Manrope"/>
          <w:color w:val="101828"/>
        </w:rPr>
        <w:t>Five offers to start: three delivery products and two standalone training programs</w:t>
      </w:r>
    </w:p>
    <w:p>
      <w:pPr>
        <w:spacing w:after="140"/>
      </w:pPr>
      <w:r>
        <w:rPr>
          <w:rFonts w:ascii="Inter" w:hAnsi="Inter" w:eastAsia="Inter" w:cs="Inter"/>
          <w:color w:val="101828"/>
        </w:rPr>
        <w:t>Launch with three Marketplace Delivery offers and two paid Training and Team Enablement products. This creates two parallel entry routes: a client may begin with delivery or with training.</w:t>
      </w:r>
    </w:p>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360"/>
      </w:tblGrid>
      <w:tr>
        <w:trPr>
          <w:cantSplit/>
          <w:tblHeader w:val="true"/>
        </w:trPr>
        <w:tc>
          <w:tcPr>
            <w:tcW w:type="dxa" w:w="9360"/>
            <w:tcBorders>
              <w:top w:val="nil" w:color="FFFFFF" w:sz="0"/>
              <w:left w:val="single" w:color="3FAF8F" w:sz="20" w:space="0"/>
              <w:bottom w:val="nil" w:color="FFFFFF" w:sz="0"/>
              <w:right w:val="none" w:color="FFFFFF" w:sz="0"/>
              <w:end w:val="nil"/>
            </w:tcBorders>
            <w:shd w:fill="101828" w:color="auto" w:val="clear"/>
            <w:tcMar>
              <w:top w:type="dxa" w:w="120"/>
              <w:left w:type="dxa" w:w="240"/>
              <w:bottom w:type="dxa" w:w="120"/>
              <w:right w:type="dxa" w:w="240"/>
              <w:start w:w="160" w:type="dxa"/>
              <w:end w:w="160" w:type="dxa"/>
            </w:tcMar>
          </w:tcPr>
          <w:p>
            <w:pPr>
              <w:spacing w:after="60"/>
            </w:pPr>
            <w:r>
              <w:rPr>
                <w:rFonts w:ascii="Inter" w:cs="Inter" w:eastAsia="Inter" w:hAnsi="Inter"/>
                <w:b/>
                <w:bCs/>
                <w:color w:val="FFFFFF"/>
                <w:sz w:val="26"/>
                <w:szCs w:val="26"/>
              </w:rPr>
              <w:t>Launch with three Marketplace Delivery offers and two paid standalone training programs.</w:t>
            </w:r>
          </w:p>
        </w:tc>
      </w:tr>
    </w:tbl>
    <w:p>
      <w:pPr>
        <w:spacing w:after="160" w:before="0"/>
      </w:pPr>
    </w:p>
    <w:tbl>
      <w:tblPr>
        <w:tblW w:type="dxa" w:w="9360"/>
        <w:tblBorders>
          <w:top w:val="nil" w:color="D9DEE8" w:sz="4"/>
          <w:left w:val="none" w:color="FFFFFF" w:sz="0"/>
          <w:bottom w:val="single" w:color="D9DEE8" w:sz="5" w:space="0"/>
          <w:right w:val="none" w:color="FFFFFF" w:sz="0"/>
          <w:insideH w:val="single" w:color="D9DEE8" w:sz="5" w:space="0"/>
          <w:insideV w:val="nil" w:color="FFFFFF" w:sz="0"/>
          <w:start w:val="nil"/>
          <w:end w:val="nil"/>
        </w:tblBorders>
        <w:tblLayout w:type="fixed"/>
      </w:tblPr>
      <w:tblGrid>
        <w:gridCol w:w="2246"/>
        <w:gridCol w:w="2434"/>
        <w:gridCol w:w="2621"/>
        <w:gridCol w:w="2059"/>
      </w:tblGrid>
      <w:tr>
        <w:trPr>
          <w:cantSplit/>
          <w:tblHeader w:val="true"/>
        </w:trPr>
        <w:tc>
          <w:tcPr>
            <w:tcW w:type="dxa" w:w="2246"/>
            <w:shd w:fill="101828" w:color="auto" w:val="clear"/>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FFFFFF"/>
                <w:sz w:val="18"/>
                <w:szCs w:val="18"/>
              </w:rPr>
              <w:t xml:space="preserve">Launch offer</w:t>
            </w:r>
          </w:p>
        </w:tc>
        <w:tc>
          <w:tcPr>
            <w:tcW w:type="dxa" w:w="2434"/>
            <w:shd w:fill="101828" w:color="auto" w:val="clear"/>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FFFFFF"/>
                <w:sz w:val="18"/>
                <w:szCs w:val="18"/>
              </w:rPr>
              <w:t xml:space="preserve">For</w:t>
            </w:r>
          </w:p>
        </w:tc>
        <w:tc>
          <w:tcPr>
            <w:tcW w:type="dxa" w:w="2621"/>
            <w:shd w:fill="101828" w:color="auto" w:val="clear"/>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FFFFFF"/>
                <w:sz w:val="18"/>
                <w:szCs w:val="18"/>
              </w:rPr>
              <w:t xml:space="preserve">Outcome</w:t>
            </w:r>
          </w:p>
        </w:tc>
        <w:tc>
          <w:tcPr>
            <w:tcW w:type="dxa" w:w="2059"/>
            <w:shd w:fill="101828" w:color="auto" w:val="clear"/>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FFFFFF"/>
                <w:sz w:val="18"/>
                <w:szCs w:val="18"/>
              </w:rPr>
              <w:t xml:space="preserve">Scope guardrail</w:t>
            </w:r>
          </w:p>
        </w:tc>
      </w:tr>
      <w:tr>
        <w:trPr>
          <w:cantSplit/>
          <w:tblHeader w:val="false"/>
        </w:trPr>
        <w:tc>
          <w:tcPr>
            <w:tcW w:type="dxa" w:w="2246"/>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101828"/>
                <w:sz w:val="18"/>
                <w:szCs w:val="18"/>
              </w:rPr>
              <w:t xml:space="preserve">Marketplace Growth Diagnostic</w:t>
            </w:r>
          </w:p>
        </w:tc>
        <w:tc>
          <w:tcPr>
            <w:tcW w:type="dxa" w:w="2434"/>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Agencies and brands unsure where performance is leaking</w:t>
            </w:r>
          </w:p>
        </w:tc>
        <w:tc>
          <w:tcPr>
            <w:tcW w:type="dxa" w:w="2621"/>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Prioritized opportunity map, value hypothesis and action plan</w:t>
            </w:r>
          </w:p>
        </w:tc>
        <w:tc>
          <w:tcPr>
            <w:tcW w:type="dxa" w:w="2059"/>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Paid, fixed scope over selected ASINs</w:t>
            </w:r>
          </w:p>
        </w:tc>
      </w:tr>
      <w:tr>
        <w:trPr>
          <w:cantSplit/>
          <w:tblHeader w:val="false"/>
        </w:trPr>
        <w:tc>
          <w:tcPr>
            <w:tcW w:type="dxa" w:w="2246"/>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101828"/>
                <w:sz w:val="18"/>
                <w:szCs w:val="18"/>
              </w:rPr>
              <w:t xml:space="preserve">Position-to-Conversion Sprint</w:t>
            </w:r>
          </w:p>
        </w:tc>
        <w:tc>
          <w:tcPr>
            <w:tcW w:type="dxa" w:w="2434"/>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Products with traffic but weak differentiation or conversion</w:t>
            </w:r>
          </w:p>
        </w:tc>
        <w:tc>
          <w:tcPr>
            <w:tcW w:type="dxa" w:w="2621"/>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Positioning, listing direction, creative brief and implementation-ready assets</w:t>
            </w:r>
          </w:p>
        </w:tc>
        <w:tc>
          <w:tcPr>
            <w:tcW w:type="dxa" w:w="2059"/>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One product family or selected ASINs</w:t>
            </w:r>
          </w:p>
        </w:tc>
      </w:tr>
      <w:tr>
        <w:trPr>
          <w:cantSplit/>
          <w:tblHeader w:val="false"/>
        </w:trPr>
        <w:tc>
          <w:tcPr>
            <w:tcW w:type="dxa" w:w="2246"/>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101828"/>
                <w:sz w:val="18"/>
                <w:szCs w:val="18"/>
              </w:rPr>
              <w:t xml:space="preserve">White-Label Listing and Conversion Pod</w:t>
            </w:r>
          </w:p>
        </w:tc>
        <w:tc>
          <w:tcPr>
            <w:tcW w:type="dxa" w:w="2434"/>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Agencies needing recurring specialist output</w:t>
            </w:r>
          </w:p>
        </w:tc>
        <w:tc>
          <w:tcPr>
            <w:tcW w:type="dxa" w:w="2621"/>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Reliable monthly capacity with expert quality control</w:t>
            </w:r>
          </w:p>
        </w:tc>
        <w:tc>
          <w:tcPr>
            <w:tcW w:type="dxa" w:w="2059"/>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Defined capacity, weekly prioritization and service levels</w:t>
            </w:r>
          </w:p>
        </w:tc>
      </w:tr>
      <w:tr>
        <w:trPr>
          <w:cantSplit/>
          <w:tblHeader w:val="false"/>
        </w:trPr>
        <w:tc>
          <w:tcPr>
            <w:tcW w:type="dxa" w:w="2246"/>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101828"/>
                <w:sz w:val="18"/>
                <w:szCs w:val="18"/>
              </w:rPr>
              <w:t>Amazon Conversion Foundations</w:t>
            </w:r>
          </w:p>
        </w:tc>
        <w:tc>
          <w:tcPr>
            <w:tcW w:type="dxa" w:w="2434"/>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Agency and brand teams needing a shared conversion-quality baseline</w:t>
            </w:r>
          </w:p>
        </w:tc>
        <w:tc>
          <w:tcPr>
            <w:tcW w:type="dxa" w:w="2621"/>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Improved live product-page work, a quality rubric, reusable workflow and 30-day implementation plan</w:t>
            </w:r>
          </w:p>
        </w:tc>
        <w:tc>
          <w:tcPr>
            <w:tcW w:type="dxa" w:w="2059"/>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Private program for an agreed team and selected products</w:t>
            </w:r>
          </w:p>
        </w:tc>
      </w:tr>
      <w:tr>
        <w:trPr>
          <w:cantSplit/>
          <w:tblHeader w:val="false"/>
        </w:trPr>
        <w:tc>
          <w:tcPr>
            <w:tcW w:type="dxa" w:w="2246"/>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101828"/>
                <w:sz w:val="18"/>
                <w:szCs w:val="18"/>
              </w:rPr>
              <w:t>Agency Marketplace Enablement</w:t>
            </w:r>
          </w:p>
        </w:tc>
        <w:tc>
          <w:tcPr>
            <w:tcW w:type="dxa" w:w="2434"/>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Agency founders, account leaders and delivery managers building or strengthening an Amazon offer</w:t>
            </w:r>
          </w:p>
        </w:tc>
        <w:tc>
          <w:tcPr>
            <w:tcW w:type="dxa" w:w="2621"/>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Defined service boundary, scoping model, delivery roles, quality system and pilot-account plan</w:t>
            </w:r>
          </w:p>
        </w:tc>
        <w:tc>
          <w:tcPr>
            <w:tcW w:type="dxa" w:w="2059"/>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Two leadership sessions, one applied pilot and review over two to four weeks</w:t>
            </w:r>
          </w:p>
        </w:tc>
      </w:tr>
    </w:tbl>
    <w:p>
      <w:pPr>
        <w:spacing w:after="160" w:before="0"/>
      </w:pPr>
    </w:p>
    <w:p>
      <w:pPr>
        <w:spacing w:after="140"/>
      </w:pPr>
      <w:r>
        <w:rPr>
          <w:rFonts w:ascii="Inter" w:hAnsi="Inter" w:eastAsia="Inter" w:cs="Inter"/>
          <w:color w:val="101828"/>
        </w:rPr>
        <w:t>The five products form two parallel entry routes. A client may begin with delivery or training. The diagnostic and Amazon Conversion Foundations establish a fact base or shared quality baseline. The sprint and Agency Marketplace Enablement prove the method through applied work. The pod creates recurring delivery capacity. Training may lead to delivery, advisory or additional enablement, but no follow-on purchase is required.</w:t>
      </w:r>
    </w:p>
    <w:p>
      <w:pPr>
        <w:pStyle w:val="Heading3"/>
        <w:keepNext/>
        <w:keepLines/>
        <w:widowControl/>
      </w:pPr>
      <w:r>
        <w:rPr>
          <w:rFonts w:ascii="Inter" w:hAnsi="Inter" w:eastAsia="Inter" w:cs="Inter"/>
          <w:color w:val="315BFF"/>
        </w:rPr>
        <w:t xml:space="preserve">Next wave: add when the trigger appears</w:t>
      </w:r>
    </w:p>
    <w:tbl>
      <w:tblPr>
        <w:tblW w:type="dxa" w:w="9360"/>
        <w:tblBorders>
          <w:top w:val="nil" w:color="D9DEE8" w:sz="4"/>
          <w:left w:val="none" w:color="FFFFFF" w:sz="0"/>
          <w:bottom w:val="single" w:color="D9DEE8" w:sz="5" w:space="0"/>
          <w:right w:val="none" w:color="FFFFFF" w:sz="0"/>
          <w:insideH w:val="single" w:color="D9DEE8" w:sz="5" w:space="0"/>
          <w:insideV w:val="nil" w:color="FFFFFF" w:sz="0"/>
          <w:start w:val="nil"/>
          <w:end w:val="nil"/>
        </w:tblBorders>
        <w:tblLayout w:type="fixed"/>
      </w:tblPr>
      <w:tblGrid>
        <w:gridCol w:w="2808"/>
        <w:gridCol w:w="6552"/>
      </w:tblGrid>
      <w:tr>
        <w:trPr>
          <w:cantSplit/>
          <w:tblHeader w:val="true"/>
        </w:trPr>
        <w:tc>
          <w:tcPr>
            <w:tcW w:type="dxa" w:w="2808"/>
            <w:shd w:fill="101828" w:color="auto" w:val="clear"/>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FFFFFF"/>
                <w:sz w:val="18"/>
                <w:szCs w:val="18"/>
              </w:rPr>
              <w:t xml:space="preserve">Offer</w:t>
            </w:r>
          </w:p>
        </w:tc>
        <w:tc>
          <w:tcPr>
            <w:tcW w:type="dxa" w:w="6552"/>
            <w:shd w:fill="101828" w:color="auto" w:val="clear"/>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FFFFFF"/>
                <w:sz w:val="18"/>
                <w:szCs w:val="18"/>
              </w:rPr>
              <w:t xml:space="preserve">Add when</w:t>
            </w:r>
          </w:p>
        </w:tc>
      </w:tr>
      <w:tr>
        <w:trPr>
          <w:cantSplit/>
          <w:tblHeader w:val="false"/>
        </w:trPr>
        <w:tc>
          <w:tcPr>
            <w:tcW w:type="dxa" w:w="2808"/>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101828"/>
                <w:sz w:val="18"/>
                <w:szCs w:val="18"/>
              </w:rPr>
              <w:t xml:space="preserve">Managed Marketplace Pod (direct brands)</w:t>
            </w:r>
          </w:p>
        </w:tc>
        <w:tc>
          <w:tcPr>
            <w:tcW w:type="dxa" w:w="6552"/>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At least three published case examples exist and direct-brand pipeline is active</w:t>
            </w:r>
          </w:p>
        </w:tc>
      </w:tr>
      <w:tr>
        <w:trPr>
          <w:cantSplit/>
          <w:tblHeader w:val="false"/>
        </w:trPr>
        <w:tc>
          <w:tcPr>
            <w:tcW w:type="dxa" w:w="2808"/>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101828"/>
                <w:sz w:val="18"/>
                <w:szCs w:val="18"/>
              </w:rPr>
              <w:t xml:space="preserve">Portfolio Scale Program</w:t>
            </w:r>
          </w:p>
        </w:tc>
        <w:tc>
          <w:tcPr>
            <w:tcW w:type="dxa" w:w="6552"/>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A sprint client asks to roll the system across many products and delivery is proven</w:t>
            </w:r>
          </w:p>
        </w:tc>
      </w:tr>
      <w:tr>
        <w:trPr>
          <w:cantSplit/>
          <w:tblHeader w:val="false"/>
        </w:trPr>
        <w:tc>
          <w:tcPr>
            <w:tcW w:type="dxa" w:w="2808"/>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101828"/>
                <w:sz w:val="18"/>
                <w:szCs w:val="18"/>
              </w:rPr>
              <w:t xml:space="preserve">AI for Marketplace Teams</w:t>
            </w:r>
          </w:p>
        </w:tc>
        <w:tc>
          <w:tcPr>
            <w:tcW w:type="dxa" w:w="6552"/>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The internal AI workflow record, rubric and controls have run on live work for a full quarter</w:t>
            </w:r>
          </w:p>
        </w:tc>
      </w:tr>
      <w:tr>
        <w:trPr>
          <w:cantSplit/>
          <w:tblHeader w:val="false"/>
        </w:trPr>
        <w:tc>
          <w:tcPr>
            <w:tcW w:type="dxa" w:w="2808"/>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101828"/>
                <w:sz w:val="18"/>
                <w:szCs w:val="18"/>
              </w:rPr>
              <w:t xml:space="preserve">Marketplace Positioning Lab</w:t>
            </w:r>
          </w:p>
        </w:tc>
        <w:tc>
          <w:tcPr>
            <w:tcW w:type="dxa" w:w="6552"/>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Sprint positioning work has been repeated enough to standardize as a lab</w:t>
            </w:r>
          </w:p>
        </w:tc>
      </w:tr>
      <w:tr>
        <w:trPr>
          <w:cantSplit/>
          <w:tblHeader w:val="false"/>
        </w:trPr>
        <w:tc>
          <w:tcPr>
            <w:tcW w:type="dxa" w:w="2808"/>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101828"/>
                <w:sz w:val="18"/>
                <w:szCs w:val="18"/>
              </w:rPr>
              <w:t xml:space="preserve">Executive Marketplace Briefing</w:t>
            </w:r>
          </w:p>
        </w:tc>
        <w:tc>
          <w:tcPr>
            <w:tcW w:type="dxa" w:w="6552"/>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Direct-brand leadership conversations become a regular entry point</w:t>
            </w:r>
          </w:p>
        </w:tc>
      </w:tr>
      <w:tr>
        <w:trPr>
          <w:cantSplit/>
          <w:tblHeader w:val="false"/>
        </w:trPr>
        <w:tc>
          <w:tcPr>
            <w:tcW w:type="dxa" w:w="2808"/>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101828"/>
                <w:sz w:val="18"/>
                <w:szCs w:val="18"/>
              </w:rPr>
              <w:t>Marketplace Transformation</w:t>
            </w:r>
          </w:p>
        </w:tc>
        <w:tc>
          <w:tcPr>
            <w:tcW w:type="dxa" w:w="6552"/>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Clients repeatedly require delivery, workflow redesign, capability building, governance and scaling in one program</w:t>
            </w:r>
          </w:p>
        </w:tc>
      </w:tr>
    </w:tbl>
    <w:p>
      <w:pPr>
        <w:spacing w:after="160" w:before="0"/>
      </w:pPr>
    </w:p>
    <w:p>
      <w:pPr>
        <w:pStyle w:val="Heading3"/>
        <w:keepNext/>
        <w:keepLines/>
        <w:widowControl/>
      </w:pPr>
      <w:r>
        <w:rPr>
          <w:rFonts w:ascii="Inter" w:hAnsi="Inter" w:eastAsia="Inter" w:cs="Inter"/>
          <w:color w:val="315BFF"/>
        </w:rPr>
        <w:t xml:space="preserve">Scoping guardrails for every offer</w:t>
      </w:r>
    </w:p>
    <w:p>
      <w:pPr>
        <w:pStyle w:val="ListParagraph"/>
        <w:numPr>
          <w:ilvl w:val="0"/>
          <w:numId w:val="2"/>
        </w:numPr>
        <w:spacing w:after="60"/>
      </w:pPr>
      <w:r>
        <w:rPr>
          <w:rFonts w:ascii="Inter" w:hAnsi="Inter" w:eastAsia="Inter" w:cs="Inter"/>
          <w:color w:val="101828"/>
        </w:rPr>
        <w:t xml:space="preserve">Scope by outcome, product family, ASIN set, capacity block or program, never by unlimited availability.</w:t>
      </w:r>
    </w:p>
    <w:p>
      <w:pPr>
        <w:pStyle w:val="ListParagraph"/>
        <w:numPr>
          <w:ilvl w:val="0"/>
          <w:numId w:val="2"/>
        </w:numPr>
        <w:spacing w:after="60"/>
      </w:pPr>
      <w:r>
        <w:rPr>
          <w:rFonts w:ascii="Inter" w:hAnsi="Inter" w:eastAsia="Inter" w:cs="Inter"/>
          <w:color w:val="101828"/>
        </w:rPr>
        <w:t xml:space="preserve">Define included research, revisions, meeting cadence, client inputs, platform access and approval time.</w:t>
      </w:r>
    </w:p>
    <w:p>
      <w:pPr>
        <w:pStyle w:val="ListParagraph"/>
        <w:numPr>
          <w:ilvl w:val="0"/>
          <w:numId w:val="2"/>
        </w:numPr>
        <w:spacing w:after="60"/>
      </w:pPr>
      <w:r>
        <w:rPr>
          <w:rFonts w:ascii="Inter" w:hAnsi="Inter" w:eastAsia="Inter" w:cs="Inter"/>
          <w:color w:val="101828"/>
        </w:rPr>
        <w:t>Separate production volume from expert strategy and client-facing support.</w:t>
      </w:r>
    </w:p>
    <w:p>
      <w:pPr>
        <w:pStyle w:val="ListParagraph"/>
        <w:numPr>
          <w:ilvl w:val="0"/>
          <w:numId w:val="2"/>
        </w:numPr>
        <w:spacing w:after="60"/>
      </w:pPr>
      <w:r>
        <w:rPr>
          <w:rFonts w:ascii="Inter" w:hAnsi="Inter" w:eastAsia="Inter" w:cs="Inter"/>
          <w:color w:val="101828"/>
        </w:rPr>
        <w:t xml:space="preserve">Use paid diagnostics when uncertainty is high rather than hiding discovery inside an underpriced task.</w:t>
      </w:r>
    </w:p>
    <w:p>
      <w:pPr>
        <w:pStyle w:val="ListParagraph"/>
        <w:numPr>
          <w:ilvl w:val="0"/>
          <w:numId w:val="2"/>
        </w:numPr>
        <w:spacing w:after="60"/>
      </w:pPr>
      <w:r>
        <w:rPr>
          <w:rFonts w:ascii="Inter" w:hAnsi="Inter" w:eastAsia="Inter" w:cs="Inter"/>
          <w:color w:val="101828"/>
        </w:rPr>
        <w:t xml:space="preserve">Preserve the right to decline unsupported claims, non-compliant work or deadlines that make quality impossible.</w:t>
      </w:r>
    </w:p>
    <w:p>
      <w:pPr>
        <w:pStyle w:val="ListParagraph"/>
        <w:numPr>
          <w:ilvl w:val="0"/>
          <w:numId w:val="2"/>
        </w:numPr>
        <w:spacing w:after="60"/>
      </w:pPr>
      <w:r>
        <w:rPr>
          <w:rFonts w:ascii="Inter" w:hAnsi="Inter" w:eastAsia="Inter" w:cs="Inter"/>
          <w:color w:val="101828"/>
        </w:rPr>
        <w:t xml:space="preserve">No engagement begins with production alone. Even the smallest task requires a short diagnostic and explicit quality criteria.</w:t>
      </w:r>
    </w:p>
    <w:p>
      <w:pPr>
        <w:pStyle w:val="ListParagraph"/>
        <w:numPr>
          <w:ilvl w:val="0"/>
          <w:numId w:val="2"/>
        </w:numPr>
        <w:spacing w:after="60"/>
      </w:pPr>
      <w:r>
        <w:rPr>
          <w:rFonts w:ascii="Inter" w:hAnsi="Inter" w:eastAsia="Inter" w:cs="Inter"/>
          <w:color w:val="101828"/>
        </w:rPr>
        <w:t>Standalone training may be sold and delivered without a Marketplace Growth Diagnostic or production engagement. A short capability and context assessment is included as training pre-work rather than sold as a consulting prerequisite.</w:t>
      </w:r>
    </w:p>
    <w:p>
      <w:pPr>
        <w:spacing w:after="80" w:before="0"/>
      </w:pPr>
    </w:p>
    <w:p>
      <w:pPr>
        <w:keepNext/>
        <w:spacing w:after="40" w:before="360"/>
      </w:pPr>
      <w:r>
        <w:rPr>
          <w:rFonts w:ascii="Inter" w:hAnsi="Inter" w:eastAsia="Inter" w:cs="Inter"/>
          <w:b/>
          <w:bCs/>
          <w:color w:val="315BFF"/>
          <w:spacing w:val="20"/>
          <w:sz w:val="16"/>
          <w:szCs w:val="16"/>
        </w:rPr>
        <w:t xml:space="preserve">1.3 AGENCY PARTNER PROGRAM</w:t>
      </w:r>
    </w:p>
    <w:p>
      <w:pPr>
        <w:pStyle w:val="Heading2"/>
        <w:keepNext/>
        <w:keepLines/>
        <w:widowControl/>
        <w:spacing w:before="0"/>
      </w:pPr>
      <w:r>
        <w:rPr>
          <w:rFonts w:ascii="Manrope" w:hAnsi="Manrope" w:eastAsia="Manrope" w:cs="Manrope"/>
          <w:color w:val="101828"/>
        </w:rPr>
        <w:t xml:space="preserve">The launch revenue engine</w:t>
      </w:r>
    </w:p>
    <w:p>
      <w:pPr>
        <w:spacing w:after="140"/>
      </w:pPr>
      <w:r>
        <w:rPr>
          <w:rFonts w:ascii="Inter" w:hAnsi="Inter" w:eastAsia="Inter" w:cs="Inter"/>
          <w:color w:val="101828"/>
        </w:rPr>
        <w:t xml:space="preserve">The Agency Partner Program lets agencies buy specialist Amazon capability while preserving their client relationship and choosing how visible ADelier is.</w:t>
      </w:r>
    </w:p>
    <w:tbl>
      <w:tblPr>
        <w:tblW w:type="dxa" w:w="9360"/>
        <w:tblBorders>
          <w:top w:val="nil" w:color="D9DEE8" w:sz="4"/>
          <w:left w:val="none" w:color="FFFFFF" w:sz="0"/>
          <w:bottom w:val="single" w:color="D9DEE8" w:sz="5" w:space="0"/>
          <w:right w:val="none" w:color="FFFFFF" w:sz="0"/>
          <w:insideH w:val="single" w:color="D9DEE8" w:sz="5" w:space="0"/>
          <w:insideV w:val="nil" w:color="FFFFFF" w:sz="0"/>
          <w:start w:val="nil"/>
          <w:end w:val="nil"/>
        </w:tblBorders>
        <w:tblLayout w:type="fixed"/>
      </w:tblPr>
      <w:tblGrid>
        <w:gridCol w:w="2246"/>
        <w:gridCol w:w="7114"/>
      </w:tblGrid>
      <w:tr>
        <w:trPr>
          <w:cantSplit/>
          <w:tblHeader w:val="true"/>
        </w:trPr>
        <w:tc>
          <w:tcPr>
            <w:tcW w:type="dxa" w:w="2246"/>
            <w:shd w:fill="101828" w:color="auto" w:val="clear"/>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FFFFFF"/>
                <w:sz w:val="18"/>
                <w:szCs w:val="18"/>
              </w:rPr>
              <w:t xml:space="preserve">Engagement model</w:t>
            </w:r>
          </w:p>
        </w:tc>
        <w:tc>
          <w:tcPr>
            <w:tcW w:type="dxa" w:w="7114"/>
            <w:shd w:fill="101828" w:color="auto" w:val="clear"/>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FFFFFF"/>
                <w:sz w:val="18"/>
                <w:szCs w:val="18"/>
              </w:rPr>
              <w:t xml:space="preserve">How it works</w:t>
            </w:r>
          </w:p>
        </w:tc>
      </w:tr>
      <w:tr>
        <w:trPr>
          <w:cantSplit/>
          <w:tblHeader w:val="false"/>
        </w:trPr>
        <w:tc>
          <w:tcPr>
            <w:tcW w:type="dxa" w:w="2246"/>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101828"/>
                <w:sz w:val="18"/>
                <w:szCs w:val="18"/>
              </w:rPr>
              <w:t xml:space="preserve">White-label delivery</w:t>
            </w:r>
          </w:p>
        </w:tc>
        <w:tc>
          <w:tcPr>
            <w:tcW w:type="dxa" w:w="7114"/>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ADelier works under the agency's brand and communication structure. The agency owns the client relationship, pricing and final presentation.</w:t>
            </w:r>
          </w:p>
        </w:tc>
      </w:tr>
      <w:tr>
        <w:trPr>
          <w:cantSplit/>
          <w:tblHeader w:val="false"/>
        </w:trPr>
        <w:tc>
          <w:tcPr>
            <w:tcW w:type="dxa" w:w="2246"/>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101828"/>
                <w:sz w:val="18"/>
                <w:szCs w:val="18"/>
              </w:rPr>
              <w:t xml:space="preserve">Co-delivery</w:t>
            </w:r>
          </w:p>
        </w:tc>
        <w:tc>
          <w:tcPr>
            <w:tcW w:type="dxa" w:w="7114"/>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ADelier is introduced as a specialist marketplace partner where direct expertise, data access or workshop facilitation improves the outcome.</w:t>
            </w:r>
          </w:p>
        </w:tc>
      </w:tr>
      <w:tr>
        <w:trPr>
          <w:cantSplit/>
          <w:tblHeader w:val="false"/>
        </w:trPr>
        <w:tc>
          <w:tcPr>
            <w:tcW w:type="dxa" w:w="2246"/>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101828"/>
                <w:sz w:val="18"/>
                <w:szCs w:val="18"/>
              </w:rPr>
              <w:t xml:space="preserve">Agency enablement</w:t>
            </w:r>
          </w:p>
        </w:tc>
        <w:tc>
          <w:tcPr>
            <w:tcW w:type="dxa" w:w="7114"/>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ADelier trains the agency team, builds playbooks and reviews live work so the agency can sell and deliver more internally.</w:t>
            </w:r>
          </w:p>
        </w:tc>
      </w:tr>
      <w:tr>
        <w:trPr>
          <w:cantSplit/>
          <w:tblHeader w:val="false"/>
        </w:trPr>
        <w:tc>
          <w:tcPr>
            <w:tcW w:type="dxa" w:w="2246"/>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101828"/>
                <w:sz w:val="18"/>
                <w:szCs w:val="18"/>
              </w:rPr>
              <w:t xml:space="preserve">Hybrid pod</w:t>
            </w:r>
          </w:p>
        </w:tc>
        <w:tc>
          <w:tcPr>
            <w:tcW w:type="dxa" w:w="7114"/>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ADelier delivers advanced work and overflow while the agency handles account leadership and increasingly owns repeatable tasks.</w:t>
            </w:r>
          </w:p>
        </w:tc>
      </w:tr>
    </w:tbl>
    <w:p>
      <w:pPr>
        <w:spacing w:after="160" w:before="0"/>
      </w:pPr>
    </w:p>
    <w:p>
      <w:pPr>
        <w:pStyle w:val="Heading3"/>
        <w:keepNext/>
        <w:keepLines/>
        <w:widowControl/>
      </w:pPr>
      <w:r>
        <w:rPr>
          <w:rFonts w:ascii="Inter" w:hAnsi="Inter" w:eastAsia="Inter" w:cs="Inter"/>
          <w:color w:val="315BFF"/>
        </w:rPr>
        <w:t xml:space="preserve">Agency Partner Promise</w:t>
      </w:r>
    </w:p>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360"/>
      </w:tblGrid>
      <w:tr>
        <w:trPr>
          <w:cantSplit/>
          <w:tblHeader w:val="true"/>
        </w:trPr>
        <w:tc>
          <w:tcPr>
            <w:tcW w:type="dxa" w:w="9360"/>
            <w:tcBorders>
              <w:top w:val="nil" w:color="FFFFFF" w:sz="0"/>
              <w:left w:val="single" w:color="3FAF8F" w:sz="20" w:space="0"/>
              <w:bottom w:val="nil" w:color="FFFFFF" w:sz="0"/>
              <w:right w:val="none" w:color="FFFFFF" w:sz="0"/>
              <w:end w:val="nil"/>
            </w:tcBorders>
            <w:shd w:fill="101828" w:color="auto" w:val="clear"/>
            <w:tcMar>
              <w:top w:type="dxa" w:w="120"/>
              <w:left w:type="dxa" w:w="240"/>
              <w:bottom w:type="dxa" w:w="120"/>
              <w:right w:type="dxa" w:w="240"/>
              <w:start w:w="160" w:type="dxa"/>
              <w:end w:w="160" w:type="dxa"/>
            </w:tcMar>
          </w:tcPr>
          <w:p>
            <w:pPr>
              <w:spacing w:after="60"/>
            </w:pPr>
            <w:r>
              <w:rPr>
                <w:rFonts w:ascii="Inter" w:cs="Inter" w:eastAsia="Inter" w:hAnsi="Inter"/>
                <w:b/>
                <w:bCs/>
                <w:color w:val="FFFFFF"/>
                <w:sz w:val="26"/>
                <w:szCs w:val="26"/>
              </w:rPr>
              <w:t xml:space="preserve">You lead the client. We strengthen the delivery.</w:t>
            </w:r>
          </w:p>
        </w:tc>
      </w:tr>
    </w:tbl>
    <w:p>
      <w:pPr>
        <w:spacing w:after="160" w:before="0"/>
      </w:pPr>
    </w:p>
    <w:p>
      <w:pPr>
        <w:pStyle w:val="ListParagraph"/>
        <w:numPr>
          <w:ilvl w:val="0"/>
          <w:numId w:val="2"/>
        </w:numPr>
        <w:spacing w:after="60"/>
      </w:pPr>
      <w:r>
        <w:rPr>
          <w:rFonts w:ascii="Inter" w:hAnsi="Inter" w:eastAsia="Inter" w:cs="Inter"/>
          <w:b/>
          <w:bCs/>
          <w:color w:val="101828"/>
        </w:rPr>
        <w:t xml:space="preserve">Your client remains your client.</w:t>
      </w:r>
      <w:r>
        <w:rPr>
          <w:rFonts w:ascii="Inter" w:hAnsi="Inter" w:eastAsia="Inter" w:cs="Inter"/>
          <w:color w:val="101828"/>
        </w:rPr>
        <w:t xml:space="preserve"> Agency-introduced accounts are protected through non-solicitation and non-circumvention commitments.</w:t>
      </w:r>
    </w:p>
    <w:p>
      <w:pPr>
        <w:pStyle w:val="ListParagraph"/>
        <w:numPr>
          <w:ilvl w:val="0"/>
          <w:numId w:val="2"/>
        </w:numPr>
        <w:spacing w:after="60"/>
      </w:pPr>
      <w:r>
        <w:rPr>
          <w:rFonts w:ascii="Inter" w:hAnsi="Inter" w:eastAsia="Inter" w:cs="Inter"/>
          <w:b/>
          <w:bCs/>
          <w:color w:val="101828"/>
        </w:rPr>
        <w:t xml:space="preserve">Visibility is your choice.</w:t>
      </w:r>
      <w:r>
        <w:rPr>
          <w:rFonts w:ascii="Inter" w:hAnsi="Inter" w:eastAsia="Inter" w:cs="Inter"/>
          <w:color w:val="101828"/>
        </w:rPr>
        <w:t xml:space="preserve"> Delivery can be fully white-label, co-branded or specialist-led.</w:t>
      </w:r>
    </w:p>
    <w:p>
      <w:pPr>
        <w:pStyle w:val="ListParagraph"/>
        <w:numPr>
          <w:ilvl w:val="0"/>
          <w:numId w:val="2"/>
        </w:numPr>
        <w:spacing w:after="60"/>
      </w:pPr>
      <w:r>
        <w:rPr>
          <w:rFonts w:ascii="Inter" w:hAnsi="Inter" w:eastAsia="Inter" w:cs="Inter"/>
          <w:b/>
          <w:bCs/>
          <w:color w:val="101828"/>
        </w:rPr>
        <w:t xml:space="preserve">No surprises in delivery.</w:t>
      </w:r>
      <w:r>
        <w:rPr>
          <w:rFonts w:ascii="Inter" w:hAnsi="Inter" w:eastAsia="Inter" w:cs="Inter"/>
          <w:color w:val="101828"/>
        </w:rPr>
        <w:t xml:space="preserve"> Scope, turnaround, revisions, responsibilities and escalation routes are agreed before work starts.</w:t>
      </w:r>
    </w:p>
    <w:p>
      <w:pPr>
        <w:pStyle w:val="ListParagraph"/>
        <w:numPr>
          <w:ilvl w:val="0"/>
          <w:numId w:val="2"/>
        </w:numPr>
        <w:spacing w:after="60"/>
      </w:pPr>
      <w:r>
        <w:rPr>
          <w:rFonts w:ascii="Inter" w:hAnsi="Inter" w:eastAsia="Inter" w:cs="Inter"/>
          <w:b/>
          <w:bCs/>
          <w:color w:val="101828"/>
        </w:rPr>
        <w:t>Expert review is defined.</w:t>
      </w:r>
      <w:r>
        <w:rPr>
          <w:rFonts w:ascii="Inter" w:hAnsi="Inter" w:eastAsia="Inter" w:cs="Inter"/>
          <w:color w:val="101828"/>
        </w:rPr>
        <w:t xml:space="preserve"> The expert lead's role and approval gates are visible rather than implied.</w:t>
      </w:r>
    </w:p>
    <w:p>
      <w:pPr>
        <w:pStyle w:val="ListParagraph"/>
        <w:numPr>
          <w:ilvl w:val="0"/>
          <w:numId w:val="2"/>
        </w:numPr>
        <w:spacing w:after="60"/>
      </w:pPr>
      <w:r>
        <w:rPr>
          <w:rFonts w:ascii="Inter" w:hAnsi="Inter" w:eastAsia="Inter" w:cs="Inter"/>
          <w:b/>
          <w:bCs/>
          <w:color w:val="101828"/>
        </w:rPr>
        <w:t xml:space="preserve">Proof is handled by consent.</w:t>
      </w:r>
      <w:r>
        <w:rPr>
          <w:rFonts w:ascii="Inter" w:hAnsi="Inter" w:eastAsia="Inter" w:cs="Inter"/>
          <w:color w:val="101828"/>
        </w:rPr>
        <w:t xml:space="preserve"> No client name, asset or result is used publicly without written approval.</w:t>
      </w:r>
    </w:p>
    <w:p>
      <w:pPr>
        <w:spacing w:after="80" w:before="0"/>
      </w:pPr>
    </w:p>
    <w:p>
      <w:pPr>
        <w:keepNext/>
        <w:spacing w:after="40" w:before="360"/>
      </w:pPr>
      <w:r>
        <w:rPr>
          <w:rFonts w:ascii="Inter" w:hAnsi="Inter" w:eastAsia="Inter" w:cs="Inter"/>
          <w:b/>
          <w:bCs/>
          <w:color w:val="315BFF"/>
          <w:spacing w:val="20"/>
          <w:sz w:val="16"/>
          <w:szCs w:val="16"/>
        </w:rPr>
        <w:t xml:space="preserve">1.4 FUTURE EXPANSION</w:t>
      </w:r>
    </w:p>
    <w:p>
      <w:pPr>
        <w:pStyle w:val="Heading2"/>
        <w:keepNext/>
        <w:keepLines/>
        <w:widowControl/>
        <w:spacing w:before="0"/>
      </w:pPr>
      <w:r>
        <w:rPr>
          <w:rFonts w:ascii="Manrope" w:hAnsi="Manrope" w:eastAsia="Manrope" w:cs="Manrope"/>
          <w:color w:val="101828"/>
        </w:rPr>
        <w:t xml:space="preserve">Amazon first, marketplace always</w:t>
      </w:r>
    </w:p>
    <w:p>
      <w:pPr>
        <w:spacing w:after="140"/>
      </w:pPr>
      <w:r>
        <w:rPr>
          <w:rFonts w:ascii="Inter" w:hAnsi="Inter" w:eastAsia="Inter" w:cs="Inter"/>
          <w:color w:val="101828"/>
        </w:rPr>
        <w:t xml:space="preserve">The master brand must support TikTok Shop and other marketplaces later without implying that expertise transfers automatically. Each channel requires its own evidence, creative logic, operating model and training.</w:t>
      </w:r>
    </w:p>
    <w:p>
      <w:pPr>
        <w:pStyle w:val="Heading3"/>
        <w:keepNext/>
        <w:keepLines/>
        <w:widowControl/>
      </w:pPr>
      <w:r>
        <w:rPr>
          <w:rFonts w:ascii="Inter" w:hAnsi="Inter" w:eastAsia="Inter" w:cs="Inter"/>
          <w:color w:val="315BFF"/>
        </w:rPr>
        <w:t xml:space="preserve">Expansion criteria</w:t>
      </w:r>
    </w:p>
    <w:p>
      <w:pPr>
        <w:pStyle w:val="ListParagraph"/>
        <w:numPr>
          <w:ilvl w:val="0"/>
          <w:numId w:val="2"/>
        </w:numPr>
        <w:spacing w:after="60"/>
      </w:pPr>
      <w:r>
        <w:rPr>
          <w:rFonts w:ascii="Inter" w:hAnsi="Inter" w:eastAsia="Inter" w:cs="Inter"/>
          <w:b/>
          <w:bCs/>
          <w:color w:val="101828"/>
        </w:rPr>
        <w:t xml:space="preserve">Repeatable Amazon delivery.</w:t>
      </w:r>
      <w:r>
        <w:rPr>
          <w:rFonts w:ascii="Inter" w:hAnsi="Inter" w:eastAsia="Inter" w:cs="Inter"/>
          <w:color w:val="101828"/>
        </w:rPr>
        <w:t xml:space="preserve"> Core offers have stable scope, quality, margin and client satisfaction.</w:t>
      </w:r>
    </w:p>
    <w:p>
      <w:pPr>
        <w:pStyle w:val="ListParagraph"/>
        <w:numPr>
          <w:ilvl w:val="0"/>
          <w:numId w:val="2"/>
        </w:numPr>
        <w:spacing w:after="60"/>
      </w:pPr>
      <w:r>
        <w:rPr>
          <w:rFonts w:ascii="Inter" w:hAnsi="Inter" w:eastAsia="Inter" w:cs="Inter"/>
          <w:b/>
          <w:bCs/>
          <w:color w:val="101828"/>
        </w:rPr>
        <w:t xml:space="preserve">Sufficient proof.</w:t>
      </w:r>
      <w:r>
        <w:rPr>
          <w:rFonts w:ascii="Inter" w:hAnsi="Inter" w:eastAsia="Inter" w:cs="Inter"/>
          <w:color w:val="101828"/>
        </w:rPr>
        <w:t xml:space="preserve"> ADelier can show outcomes, not only capability claims.</w:t>
      </w:r>
    </w:p>
    <w:p>
      <w:pPr>
        <w:pStyle w:val="ListParagraph"/>
        <w:numPr>
          <w:ilvl w:val="0"/>
          <w:numId w:val="2"/>
        </w:numPr>
        <w:spacing w:after="60"/>
      </w:pPr>
      <w:r>
        <w:rPr>
          <w:rFonts w:ascii="Inter" w:hAnsi="Inter" w:eastAsia="Inter" w:cs="Inter"/>
          <w:b/>
          <w:bCs/>
          <w:color w:val="101828"/>
        </w:rPr>
        <w:t xml:space="preserve">Dedicated channel knowledge.</w:t>
      </w:r>
      <w:r>
        <w:rPr>
          <w:rFonts w:ascii="Inter" w:hAnsi="Inter" w:eastAsia="Inter" w:cs="Inter"/>
          <w:color w:val="101828"/>
        </w:rPr>
        <w:t xml:space="preserve"> The team understands discovery, creative, merchandising, media, fulfillment and creator dynamics on the new platform.</w:t>
      </w:r>
    </w:p>
    <w:p>
      <w:pPr>
        <w:pStyle w:val="ListParagraph"/>
        <w:numPr>
          <w:ilvl w:val="0"/>
          <w:numId w:val="2"/>
        </w:numPr>
        <w:spacing w:after="60"/>
      </w:pPr>
      <w:r>
        <w:rPr>
          <w:rFonts w:ascii="Inter" w:hAnsi="Inter" w:eastAsia="Inter" w:cs="Inter"/>
          <w:b/>
          <w:bCs/>
          <w:color w:val="101828"/>
        </w:rPr>
        <w:t xml:space="preserve">Pilot partner.</w:t>
      </w:r>
      <w:r>
        <w:rPr>
          <w:rFonts w:ascii="Inter" w:hAnsi="Inter" w:eastAsia="Inter" w:cs="Inter"/>
          <w:color w:val="101828"/>
        </w:rPr>
        <w:t xml:space="preserve"> A willing client provides data, access and a contained learning environment.</w:t>
      </w:r>
    </w:p>
    <w:p>
      <w:pPr>
        <w:pStyle w:val="ListParagraph"/>
        <w:numPr>
          <w:ilvl w:val="0"/>
          <w:numId w:val="2"/>
        </w:numPr>
        <w:spacing w:after="60"/>
      </w:pPr>
      <w:r>
        <w:rPr>
          <w:rFonts w:ascii="Inter" w:hAnsi="Inter" w:eastAsia="Inter" w:cs="Inter"/>
          <w:b/>
          <w:bCs/>
          <w:color w:val="101828"/>
        </w:rPr>
        <w:t xml:space="preserve">Updated methodology.</w:t>
      </w:r>
      <w:r>
        <w:rPr>
          <w:rFonts w:ascii="Inter" w:hAnsi="Inter" w:eastAsia="Inter" w:cs="Inter"/>
          <w:color w:val="101828"/>
        </w:rPr>
        <w:t xml:space="preserve"> The Choice System stays constant; platform-specific diagnostics, standards and training are developed.</w:t>
      </w:r>
    </w:p>
    <w:p>
      <w:pPr>
        <w:pStyle w:val="ListParagraph"/>
        <w:numPr>
          <w:ilvl w:val="0"/>
          <w:numId w:val="2"/>
        </w:numPr>
        <w:spacing w:after="60"/>
      </w:pPr>
      <w:r>
        <w:rPr>
          <w:rFonts w:ascii="Inter" w:hAnsi="Inter" w:eastAsia="Inter" w:cs="Inter"/>
          <w:b/>
          <w:bCs/>
          <w:color w:val="101828"/>
        </w:rPr>
        <w:t xml:space="preserve">Clear economic case.</w:t>
      </w:r>
      <w:r>
        <w:rPr>
          <w:rFonts w:ascii="Inter" w:hAnsi="Inter" w:eastAsia="Inter" w:cs="Inter"/>
          <w:color w:val="101828"/>
        </w:rPr>
        <w:t xml:space="preserve"> Demand, willingness to pay and delivery cost justify the investment.</w:t>
      </w:r>
    </w:p>
    <w:p>
      <w:pPr>
        <w:spacing w:after="80" w:before="0"/>
      </w:pPr>
    </w:p>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360"/>
      </w:tblGrid>
      <w:tr>
        <w:trPr>
          <w:cantSplit/>
          <w:tblHeader w:val="true"/>
        </w:trPr>
        <w:tc>
          <w:tcPr>
            <w:tcW w:type="dxa" w:w="9360"/>
            <w:tcBorders>
              <w:top w:val="nil" w:color="FFFFFF" w:sz="0"/>
              <w:left w:val="single" w:color="315BFF" w:sz="20" w:space="0"/>
              <w:bottom w:val="nil" w:color="FFFFFF" w:sz="0"/>
              <w:right w:val="none" w:color="FFFFFF" w:sz="0"/>
              <w:end w:val="nil"/>
            </w:tcBorders>
            <w:shd w:fill="EAF0FF" w:color="auto" w:val="clear"/>
            <w:tcMar>
              <w:top w:type="dxa" w:w="120"/>
              <w:left w:type="dxa" w:w="240"/>
              <w:bottom w:type="dxa" w:w="120"/>
              <w:right w:type="dxa" w:w="240"/>
              <w:start w:w="160" w:type="dxa"/>
              <w:end w:w="160" w:type="dxa"/>
            </w:tcMar>
          </w:tcPr>
          <w:p>
            <w:pPr>
              <w:spacing w:after="70"/>
            </w:pPr>
            <w:r>
              <w:rPr>
                <w:rFonts w:ascii="Inter" w:hAnsi="Inter" w:eastAsia="Inter" w:cs="Inter"/>
                <w:b/>
                <w:bCs/>
                <w:color w:val="101828"/>
                <w:sz w:val="19"/>
                <w:szCs w:val="19"/>
              </w:rPr>
              <w:t xml:space="preserve">Language rule.</w:t>
            </w:r>
            <w:r>
              <w:rPr>
                <w:rFonts w:ascii="Inter" w:hAnsi="Inter" w:eastAsia="Inter" w:cs="Inter"/>
                <w:color w:val="101828"/>
                <w:sz w:val="19"/>
                <w:szCs w:val="19"/>
              </w:rPr>
              <w:t xml:space="preserve"> Say Amazon when describing current capability. Say marketplace when describing the master category and future ambition.</w:t>
            </w:r>
          </w:p>
        </w:tc>
      </w:tr>
    </w:tbl>
    <w:p>
      <w:pPr>
        <w:spacing w:after="160" w:before="0"/>
      </w:pPr>
    </w:p>
    <w:p>
      <w:pPr>
        <w:pageBreakBefore/>
        <w:spacing w:after="0" w:before="1800"/>
      </w:pPr>
    </w:p>
    <w:tbl>
      <w:tblPr>
        <w:tblW w:type="dxa" w:w="2600"/>
        <w:jc w:val="left"/>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
        <w:gridCol w:w="1880"/>
        <w:gridCol w:w="360"/>
      </w:tblGrid>
      <w:tr>
        <w:trPr>
          <w:trHeight w:val="260" w:hRule="exact"/>
          <w:tblHeader w:val="true"/>
          <w:cantSplit/>
        </w:trPr>
        <w:tc>
          <w:tcPr>
            <w:tcW w:type="dxa" w:w="360"/>
            <w:tcBorders>
              <w:top w:val="single" w:color="315BFF" w:sz="20"/>
              <w:left w:val="single" w:color="315BFF" w:sz="20"/>
              <w:bottom w:val="none" w:color="FFFFFF" w:sz="0"/>
              <w:right w:val="none" w:color="FFFFFF" w:sz="0"/>
            </w:tcBorders>
            <w:tcMar>
              <w:top w:type="dxa" w:w="0"/>
              <w:left w:type="dxa" w:w="0"/>
              <w:bottom w:type="dxa" w:w="0"/>
              <w:right w:type="dxa" w:w="0"/>
            </w:tcMar>
          </w:tcPr>
          <w:p>
            <w:pPr>
              <w:spacing w:after="0" w:line="20" w:lineRule="exact"/>
            </w:pPr>
            <w:r>
              <w:rPr>
                <w:sz w:val="2"/>
                <w:szCs w:val="2"/>
              </w:rPr>
              <w:t xml:space="preserve"/>
            </w:r>
          </w:p>
        </w:tc>
        <w:tc>
          <w:tcPr>
            <w:tcW w:type="dxa" w:w="1880"/>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line="20" w:lineRule="exact"/>
            </w:pPr>
            <w:r>
              <w:rPr>
                <w:sz w:val="2"/>
                <w:szCs w:val="2"/>
              </w:rPr>
              <w:t xml:space="preserve"/>
            </w:r>
          </w:p>
        </w:tc>
        <w:tc>
          <w:tcPr>
            <w:tcW w:type="dxa" w:w="360"/>
            <w:tcBorders>
              <w:top w:val="single" w:color="315BFF" w:sz="20"/>
              <w:left w:val="none" w:color="FFFFFF" w:sz="0"/>
              <w:bottom w:val="none" w:color="FFFFFF" w:sz="0"/>
              <w:right w:val="single" w:color="315BFF" w:sz="20"/>
            </w:tcBorders>
            <w:tcMar>
              <w:top w:type="dxa" w:w="0"/>
              <w:left w:type="dxa" w:w="0"/>
              <w:bottom w:type="dxa" w:w="0"/>
              <w:right w:type="dxa" w:w="0"/>
            </w:tcMar>
          </w:tcPr>
          <w:p>
            <w:pPr>
              <w:spacing w:after="0" w:line="20" w:lineRule="exact"/>
            </w:pPr>
            <w:r>
              <w:rPr>
                <w:sz w:val="2"/>
                <w:szCs w:val="2"/>
              </w:rPr>
              <w:t xml:space="preserve"/>
            </w:r>
          </w:p>
        </w:tc>
      </w:tr>
      <w:tr>
        <w:trPr>
          <w:cantSplit/>
        </w:trPr>
        <w:tc>
          <w:tcPr>
            <w:tcW w:type="dxa" w:w="360"/>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line="20" w:lineRule="exact"/>
            </w:pPr>
            <w:r>
              <w:rPr>
                <w:sz w:val="2"/>
                <w:szCs w:val="2"/>
              </w:rPr>
              <w:t xml:space="preserve"/>
            </w:r>
          </w:p>
        </w:tc>
        <w:tc>
          <w:tcPr>
            <w:tcW w:type="dxa" w:w="1880"/>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1400" w:lineRule="exact"/>
              <w:jc w:val="center"/>
            </w:pPr>
            <w:r>
              <w:rPr>
                <w:rFonts w:ascii="Manrope" w:cs="Manrope" w:eastAsia="Manrope" w:hAnsi="Manrope"/>
                <w:b/>
                <w:bCs/>
                <w:color w:val="315BFF"/>
                <w:sz w:val="120"/>
                <w:szCs w:val="120"/>
              </w:rPr>
              <w:t xml:space="preserve">02</w:t>
            </w:r>
          </w:p>
        </w:tc>
        <w:tc>
          <w:tcPr>
            <w:tcW w:type="dxa" w:w="360"/>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line="20" w:lineRule="exact"/>
            </w:pPr>
            <w:r>
              <w:rPr>
                <w:sz w:val="2"/>
                <w:szCs w:val="2"/>
              </w:rPr>
              <w:t xml:space="preserve"/>
            </w:r>
          </w:p>
        </w:tc>
      </w:tr>
      <w:tr>
        <w:trPr>
          <w:trHeight w:val="260" w:hRule="exact"/>
          <w:cantSplit/>
        </w:trPr>
        <w:tc>
          <w:tcPr>
            <w:tcW w:type="dxa" w:w="360"/>
            <w:tcBorders>
              <w:top w:val="none" w:color="FFFFFF" w:sz="0"/>
              <w:left w:val="single" w:color="315BFF" w:sz="20"/>
              <w:bottom w:val="single" w:color="315BFF" w:sz="20"/>
              <w:right w:val="none" w:color="FFFFFF" w:sz="0"/>
            </w:tcBorders>
            <w:tcMar>
              <w:top w:type="dxa" w:w="0"/>
              <w:left w:type="dxa" w:w="0"/>
              <w:bottom w:type="dxa" w:w="0"/>
              <w:right w:type="dxa" w:w="0"/>
            </w:tcMar>
          </w:tcPr>
          <w:p>
            <w:pPr>
              <w:spacing w:after="0" w:line="20" w:lineRule="exact"/>
            </w:pPr>
            <w:r>
              <w:rPr>
                <w:sz w:val="2"/>
                <w:szCs w:val="2"/>
              </w:rPr>
              <w:t xml:space="preserve"/>
            </w:r>
          </w:p>
        </w:tc>
        <w:tc>
          <w:tcPr>
            <w:tcW w:type="dxa" w:w="1880"/>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line="20" w:lineRule="exact"/>
            </w:pPr>
            <w:r>
              <w:rPr>
                <w:sz w:val="2"/>
                <w:szCs w:val="2"/>
              </w:rPr>
              <w:t xml:space="preserve"/>
            </w:r>
          </w:p>
        </w:tc>
        <w:tc>
          <w:tcPr>
            <w:tcW w:type="dxa" w:w="360"/>
            <w:tcBorders>
              <w:top w:val="none" w:color="FFFFFF" w:sz="0"/>
              <w:left w:val="none" w:color="FFFFFF" w:sz="0"/>
              <w:bottom w:val="single" w:color="315BFF" w:sz="20"/>
              <w:right w:val="single" w:color="315BFF" w:sz="20"/>
            </w:tcBorders>
            <w:tcMar>
              <w:top w:type="dxa" w:w="0"/>
              <w:left w:type="dxa" w:w="0"/>
              <w:bottom w:type="dxa" w:w="0"/>
              <w:right w:type="dxa" w:w="0"/>
            </w:tcMar>
          </w:tcPr>
          <w:p>
            <w:pPr>
              <w:spacing w:after="0" w:line="20" w:lineRule="exact"/>
            </w:pPr>
            <w:r>
              <w:rPr>
                <w:sz w:val="2"/>
                <w:szCs w:val="2"/>
              </w:rPr>
              <w:t xml:space="preserve"/>
            </w:r>
          </w:p>
        </w:tc>
      </w:tr>
    </w:tbl>
    <w:p>
      <w:pPr>
        <w:pStyle w:val="Heading1"/>
        <w:keepNext/>
        <w:keepLines/>
        <w:widowControl/>
        <w:spacing w:after="200" w:before="360"/>
      </w:pPr>
      <w:r>
        <w:rPr>
          <w:rFonts w:ascii="Manrope" w:hAnsi="Manrope" w:eastAsia="Manrope" w:cs="Manrope"/>
          <w:color w:val="101828"/>
        </w:rPr>
        <w:t xml:space="preserve">Messaging System</w:t>
      </w:r>
    </w:p>
    <w:p>
      <w:pPr>
        <w:pBdr>
          <w:bottom w:val="single" w:color="3FAF8F" w:sz="18" w:space="1"/>
        </w:pBdr>
        <w:spacing w:after="300"/>
        <w:ind w:right="7200"/>
      </w:pPr>
    </w:p>
    <w:p>
      <w:pPr>
        <w:spacing w:after="400" w:line="380"/>
      </w:pPr>
      <w:r>
        <w:rPr>
          <w:rFonts w:ascii="Source Serif 4" w:cs="Source Serif 4" w:eastAsia="Source Serif 4" w:hAnsi="Source Serif 4"/>
          <w:i/>
          <w:iCs/>
          <w:color w:val="101828"/>
          <w:sz w:val="30"/>
          <w:szCs w:val="30"/>
        </w:rPr>
        <w:t xml:space="preserve">A disciplined hierarchy that keeps the master brand stable while making the agency, brand and training propositions immediately relevant.</w:t>
      </w:r>
    </w:p>
    <w:p>
      <w:pPr>
        <w:keepNext/>
        <w:spacing w:after="40" w:before="360"/>
      </w:pPr>
      <w:r>
        <w:rPr>
          <w:rFonts w:ascii="Inter" w:hAnsi="Inter" w:eastAsia="Inter" w:cs="Inter"/>
          <w:b/>
          <w:bCs/>
          <w:color w:val="315BFF"/>
          <w:spacing w:val="20"/>
          <w:sz w:val="16"/>
          <w:szCs w:val="16"/>
        </w:rPr>
        <w:t xml:space="preserve">2.1 MESSAGING HIERARCHY</w:t>
      </w:r>
    </w:p>
    <w:p>
      <w:pPr>
        <w:pStyle w:val="Heading2"/>
        <w:keepNext/>
        <w:keepLines/>
        <w:widowControl/>
        <w:spacing w:before="0"/>
      </w:pPr>
      <w:r>
        <w:rPr>
          <w:rFonts w:ascii="Manrope" w:hAnsi="Manrope" w:eastAsia="Manrope" w:cs="Manrope"/>
          <w:color w:val="101828"/>
        </w:rPr>
        <w:t xml:space="preserve">One idea at each level</w:t>
      </w:r>
    </w:p>
    <w:p>
      <w:pPr>
        <w:spacing w:after="140"/>
      </w:pPr>
      <w:r>
        <w:rPr>
          <w:rFonts w:ascii="Inter" w:hAnsi="Inter" w:eastAsia="Inter" w:cs="Inter"/>
          <w:color w:val="101828"/>
        </w:rPr>
        <w:t xml:space="preserve">Lead with the customer outcome, explain the distinctive system, then provide proof. Only the lines below are approved for public use.</w:t>
      </w:r>
    </w:p>
    <w:tbl>
      <w:tblPr>
        <w:tblW w:type="dxa" w:w="9360"/>
        <w:tblBorders>
          <w:top w:val="nil" w:color="D9DEE8" w:sz="4"/>
          <w:left w:val="none" w:color="FFFFFF" w:sz="0"/>
          <w:bottom w:val="single" w:color="D9DEE8" w:sz="5" w:space="0"/>
          <w:right w:val="none" w:color="FFFFFF" w:sz="0"/>
          <w:insideH w:val="single" w:color="D9DEE8" w:sz="5" w:space="0"/>
          <w:insideV w:val="nil" w:color="FFFFFF" w:sz="0"/>
          <w:start w:val="nil"/>
          <w:end w:val="nil"/>
        </w:tblBorders>
        <w:tblLayout w:type="fixed"/>
      </w:tblPr>
      <w:tblGrid>
        <w:gridCol w:w="2059"/>
        <w:gridCol w:w="3931"/>
        <w:gridCol w:w="3370"/>
      </w:tblGrid>
      <w:tr>
        <w:trPr>
          <w:cantSplit/>
          <w:tblHeader w:val="true"/>
        </w:trPr>
        <w:tc>
          <w:tcPr>
            <w:tcW w:type="dxa" w:w="2059"/>
            <w:shd w:fill="101828" w:color="auto" w:val="clear"/>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FFFFFF"/>
                <w:sz w:val="18"/>
                <w:szCs w:val="18"/>
              </w:rPr>
              <w:t xml:space="preserve">Level</w:t>
            </w:r>
          </w:p>
        </w:tc>
        <w:tc>
          <w:tcPr>
            <w:tcW w:type="dxa" w:w="3931"/>
            <w:shd w:fill="101828" w:color="auto" w:val="clear"/>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FFFFFF"/>
                <w:sz w:val="18"/>
                <w:szCs w:val="18"/>
              </w:rPr>
              <w:t xml:space="preserve">Message</w:t>
            </w:r>
          </w:p>
        </w:tc>
        <w:tc>
          <w:tcPr>
            <w:tcW w:type="dxa" w:w="3370"/>
            <w:shd w:fill="101828" w:color="auto" w:val="clear"/>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FFFFFF"/>
                <w:sz w:val="18"/>
                <w:szCs w:val="18"/>
              </w:rPr>
              <w:t xml:space="preserve">Use</w:t>
            </w:r>
          </w:p>
        </w:tc>
      </w:tr>
      <w:tr>
        <w:trPr>
          <w:cantSplit/>
          <w:tblHeader w:val="false"/>
        </w:trPr>
        <w:tc>
          <w:tcPr>
            <w:tcW w:type="dxa" w:w="2059"/>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101828"/>
                <w:sz w:val="18"/>
                <w:szCs w:val="18"/>
              </w:rPr>
              <w:t xml:space="preserve">Tagline</w:t>
            </w:r>
          </w:p>
        </w:tc>
        <w:tc>
          <w:tcPr>
            <w:tcW w:type="dxa" w:w="3931"/>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Positioned to sell. Equipped to scale.</w:t>
            </w:r>
          </w:p>
        </w:tc>
        <w:tc>
          <w:tcPr>
            <w:tcW w:type="dxa" w:w="3370"/>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Master lockup and campaigns</w:t>
            </w:r>
          </w:p>
        </w:tc>
      </w:tr>
      <w:tr>
        <w:trPr>
          <w:cantSplit/>
          <w:tblHeader w:val="false"/>
        </w:trPr>
        <w:tc>
          <w:tcPr>
            <w:tcW w:type="dxa" w:w="2059"/>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101828"/>
                <w:sz w:val="18"/>
                <w:szCs w:val="18"/>
              </w:rPr>
              <w:t xml:space="preserve">Master outcome</w:t>
            </w:r>
          </w:p>
        </w:tc>
        <w:tc>
          <w:tcPr>
            <w:tcW w:type="dxa" w:w="3931"/>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Make marketplace products easier to find, understand and choose.</w:t>
            </w:r>
          </w:p>
        </w:tc>
        <w:tc>
          <w:tcPr>
            <w:tcW w:type="dxa" w:w="3370"/>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Homepage and corporate introduction</w:t>
            </w:r>
          </w:p>
        </w:tc>
      </w:tr>
      <w:tr>
        <w:trPr>
          <w:cantSplit/>
          <w:tblHeader w:val="false"/>
        </w:trPr>
        <w:tc>
          <w:tcPr>
            <w:tcW w:type="dxa" w:w="2059"/>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101828"/>
                <w:sz w:val="18"/>
                <w:szCs w:val="18"/>
              </w:rPr>
              <w:t xml:space="preserve">Core promise</w:t>
            </w:r>
          </w:p>
        </w:tc>
        <w:tc>
          <w:tcPr>
            <w:tcW w:type="dxa" w:w="3931"/>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Better marketplace execution. Stronger internal capability.</w:t>
            </w:r>
          </w:p>
        </w:tc>
        <w:tc>
          <w:tcPr>
            <w:tcW w:type="dxa" w:w="3370"/>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Proposals and service introductions</w:t>
            </w:r>
          </w:p>
        </w:tc>
      </w:tr>
      <w:tr>
        <w:trPr>
          <w:cantSplit/>
          <w:tblHeader w:val="false"/>
        </w:trPr>
        <w:tc>
          <w:tcPr>
            <w:tcW w:type="dxa" w:w="2059"/>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101828"/>
                <w:sz w:val="18"/>
                <w:szCs w:val="18"/>
              </w:rPr>
              <w:t>Agency headline</w:t>
            </w:r>
          </w:p>
        </w:tc>
        <w:tc>
          <w:tcPr>
            <w:tcW w:type="dxa" w:w="3931"/>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Expand your Amazon offer. Keep the client relationship.</w:t>
            </w:r>
          </w:p>
        </w:tc>
        <w:tc>
          <w:tcPr>
            <w:tcW w:type="dxa" w:w="3370"/>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Agency page and outreach</w:t>
            </w:r>
          </w:p>
        </w:tc>
      </w:tr>
      <w:tr>
        <w:trPr>
          <w:cantSplit/>
          <w:tblHeader w:val="false"/>
        </w:trPr>
        <w:tc>
          <w:tcPr>
            <w:tcW w:type="dxa" w:w="2059"/>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101828"/>
                <w:sz w:val="18"/>
                <w:szCs w:val="18"/>
              </w:rPr>
              <w:t>Brand headline</w:t>
            </w:r>
          </w:p>
        </w:tc>
        <w:tc>
          <w:tcPr>
            <w:tcW w:type="dxa" w:w="3931"/>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Make your product the obvious choice.</w:t>
            </w:r>
          </w:p>
        </w:tc>
        <w:tc>
          <w:tcPr>
            <w:tcW w:type="dxa" w:w="3370"/>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Direct-brand page and conversion work</w:t>
            </w:r>
          </w:p>
        </w:tc>
      </w:tr>
      <w:tr>
        <w:trPr>
          <w:cantSplit/>
          <w:tblHeader w:val="false"/>
        </w:trPr>
        <w:tc>
          <w:tcPr>
            <w:tcW w:type="dxa" w:w="2059"/>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101828"/>
                <w:sz w:val="18"/>
                <w:szCs w:val="18"/>
              </w:rPr>
              <w:t>Training headline</w:t>
            </w:r>
          </w:p>
        </w:tc>
        <w:tc>
          <w:tcPr>
            <w:tcW w:type="dxa" w:w="3931"/>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Build the capability to repeat the gains.</w:t>
            </w:r>
          </w:p>
        </w:tc>
        <w:tc>
          <w:tcPr>
            <w:tcW w:type="dxa" w:w="3370"/>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Training page and materials</w:t>
            </w:r>
          </w:p>
        </w:tc>
      </w:tr>
    </w:tbl>
    <w:p>
      <w:pPr>
        <w:spacing w:after="160" w:before="0"/>
      </w:pPr>
    </w:p>
    <w:p>
      <w:pPr>
        <w:pStyle w:val="Heading3"/>
        <w:keepNext/>
        <w:keepLines/>
        <w:widowControl/>
      </w:pPr>
      <w:r>
        <w:rPr>
          <w:rFonts w:ascii="Inter" w:hAnsi="Inter" w:eastAsia="Inter" w:cs="Inter"/>
          <w:color w:val="315BFF"/>
        </w:rPr>
        <w:t xml:space="preserve">Message order</w:t>
      </w:r>
    </w:p>
    <w:p>
      <w:pPr>
        <w:pStyle w:val="ListParagraph"/>
        <w:numPr>
          <w:ilvl w:val="0"/>
          <w:numId w:val="3"/>
        </w:numPr>
        <w:spacing w:after="60"/>
      </w:pPr>
      <w:r>
        <w:rPr>
          <w:rFonts w:ascii="Inter" w:hAnsi="Inter" w:eastAsia="Inter" w:cs="Inter"/>
          <w:b/>
          <w:bCs/>
          <w:color w:val="101828"/>
        </w:rPr>
        <w:t xml:space="preserve">Outcome.</w:t>
      </w:r>
      <w:r>
        <w:rPr>
          <w:rFonts w:ascii="Inter" w:hAnsi="Inter" w:eastAsia="Inter" w:cs="Inter"/>
          <w:color w:val="101828"/>
        </w:rPr>
        <w:t xml:space="preserve"> State what improves for the customer or their end shopper.</w:t>
      </w:r>
    </w:p>
    <w:p>
      <w:pPr>
        <w:pStyle w:val="ListParagraph"/>
        <w:numPr>
          <w:ilvl w:val="0"/>
          <w:numId w:val="3"/>
        </w:numPr>
        <w:spacing w:after="60"/>
      </w:pPr>
      <w:r>
        <w:rPr>
          <w:rFonts w:ascii="Inter" w:hAnsi="Inter" w:eastAsia="Inter" w:cs="Inter"/>
          <w:b/>
          <w:bCs/>
          <w:color w:val="101828"/>
        </w:rPr>
        <w:t xml:space="preserve">Problem.</w:t>
      </w:r>
      <w:r>
        <w:rPr>
          <w:rFonts w:ascii="Inter" w:hAnsi="Inter" w:eastAsia="Inter" w:cs="Inter"/>
          <w:color w:val="101828"/>
        </w:rPr>
        <w:t xml:space="preserve"> Name the friction or value leakage ADelier is designed to solve.</w:t>
      </w:r>
    </w:p>
    <w:p>
      <w:pPr>
        <w:pStyle w:val="ListParagraph"/>
        <w:numPr>
          <w:ilvl w:val="0"/>
          <w:numId w:val="3"/>
        </w:numPr>
        <w:spacing w:after="60"/>
      </w:pPr>
      <w:r>
        <w:rPr>
          <w:rFonts w:ascii="Inter" w:hAnsi="Inter" w:eastAsia="Inter" w:cs="Inter"/>
          <w:b/>
          <w:bCs/>
          <w:color w:val="101828"/>
        </w:rPr>
        <w:t xml:space="preserve">System.</w:t>
      </w:r>
      <w:r>
        <w:rPr>
          <w:rFonts w:ascii="Inter" w:hAnsi="Inter" w:eastAsia="Inter" w:cs="Inter"/>
          <w:color w:val="101828"/>
        </w:rPr>
        <w:t xml:space="preserve"> Explain the combination of positioning, delivery, AI-enabled workflow and enablement.</w:t>
      </w:r>
    </w:p>
    <w:p>
      <w:pPr>
        <w:pStyle w:val="ListParagraph"/>
        <w:numPr>
          <w:ilvl w:val="0"/>
          <w:numId w:val="3"/>
        </w:numPr>
        <w:spacing w:after="60"/>
      </w:pPr>
      <w:r>
        <w:rPr>
          <w:rFonts w:ascii="Inter" w:hAnsi="Inter" w:eastAsia="Inter" w:cs="Inter"/>
          <w:b/>
          <w:bCs/>
          <w:color w:val="101828"/>
        </w:rPr>
        <w:t xml:space="preserve">Proof.</w:t>
      </w:r>
      <w:r>
        <w:rPr>
          <w:rFonts w:ascii="Inter" w:hAnsi="Inter" w:eastAsia="Inter" w:cs="Inter"/>
          <w:color w:val="101828"/>
        </w:rPr>
        <w:t xml:space="preserve"> Show a result, example, process, expert role or quality standard.</w:t>
      </w:r>
    </w:p>
    <w:p>
      <w:pPr>
        <w:pStyle w:val="ListParagraph"/>
        <w:numPr>
          <w:ilvl w:val="0"/>
          <w:numId w:val="3"/>
        </w:numPr>
        <w:spacing w:after="60"/>
      </w:pPr>
      <w:r>
        <w:rPr>
          <w:rFonts w:ascii="Inter" w:hAnsi="Inter" w:eastAsia="Inter" w:cs="Inter"/>
          <w:b/>
          <w:bCs/>
          <w:color w:val="101828"/>
        </w:rPr>
        <w:t xml:space="preserve">Action.</w:t>
      </w:r>
      <w:r>
        <w:rPr>
          <w:rFonts w:ascii="Inter" w:hAnsi="Inter" w:eastAsia="Inter" w:cs="Inter"/>
          <w:color w:val="101828"/>
        </w:rPr>
        <w:t xml:space="preserve"> Offer a concrete next step such as a diagnostic, partner conversation or workshop.</w:t>
      </w:r>
    </w:p>
    <w:p>
      <w:pPr>
        <w:spacing w:after="80" w:before="0"/>
      </w:pPr>
    </w:p>
    <w:p>
      <w:pPr>
        <w:keepNext/>
        <w:spacing w:after="40" w:before="360"/>
      </w:pPr>
      <w:r>
        <w:rPr>
          <w:rFonts w:ascii="Inter" w:hAnsi="Inter" w:eastAsia="Inter" w:cs="Inter"/>
          <w:b/>
          <w:bCs/>
          <w:color w:val="315BFF"/>
          <w:spacing w:val="20"/>
          <w:sz w:val="16"/>
          <w:szCs w:val="16"/>
        </w:rPr>
        <w:t xml:space="preserve">2.2 CORPORATE MESSAGES</w:t>
      </w:r>
    </w:p>
    <w:p>
      <w:pPr>
        <w:pStyle w:val="Heading2"/>
        <w:keepNext/>
        <w:keepLines/>
        <w:widowControl/>
        <w:spacing w:before="0"/>
      </w:pPr>
      <w:r>
        <w:rPr>
          <w:rFonts w:ascii="Manrope" w:hAnsi="Manrope" w:eastAsia="Manrope" w:cs="Manrope"/>
          <w:color w:val="101828"/>
        </w:rPr>
        <w:t xml:space="preserve">Approved elevator pitches</w:t>
      </w:r>
    </w:p>
    <w:p>
      <w:pPr>
        <w:pStyle w:val="Heading3"/>
        <w:keepNext/>
        <w:keepLines/>
        <w:widowControl/>
      </w:pPr>
      <w:r>
        <w:rPr>
          <w:rFonts w:ascii="Inter" w:hAnsi="Inter" w:eastAsia="Inter" w:cs="Inter"/>
          <w:color w:val="315BFF"/>
        </w:rPr>
        <w:t xml:space="preserve">Ten-second version</w:t>
      </w:r>
    </w:p>
    <w:p>
      <w:pPr>
        <w:spacing w:after="160" w:before="120"/>
        <w:ind w:left="360"/>
      </w:pPr>
      <w:r>
        <w:rPr>
          <w:rFonts w:ascii="Source Serif 4" w:cs="Source Serif 4" w:eastAsia="Source Serif 4" w:hAnsi="Source Serif 4"/>
          <w:i/>
          <w:iCs/>
          <w:color w:val="101828"/>
          <w:sz w:val="24"/>
          <w:szCs w:val="24"/>
        </w:rPr>
        <w:t xml:space="preserve">"ADelier helps brands and agencies improve Amazon positioning, conversion content and team capability."</w:t>
      </w:r>
    </w:p>
    <w:p>
      <w:pPr>
        <w:pStyle w:val="Heading3"/>
        <w:keepNext/>
        <w:keepLines/>
        <w:widowControl/>
      </w:pPr>
      <w:r>
        <w:rPr>
          <w:rFonts w:ascii="Inter" w:hAnsi="Inter" w:eastAsia="Inter" w:cs="Inter"/>
          <w:color w:val="315BFF"/>
        </w:rPr>
        <w:t xml:space="preserve">Thirty-second version</w:t>
      </w:r>
    </w:p>
    <w:p>
      <w:pPr>
        <w:spacing w:after="160" w:before="120"/>
        <w:ind w:left="360"/>
      </w:pPr>
      <w:r>
        <w:rPr>
          <w:rFonts w:ascii="Source Serif 4" w:cs="Source Serif 4" w:eastAsia="Source Serif 4" w:hAnsi="Source Serif 4"/>
          <w:i/>
          <w:iCs/>
          <w:color w:val="101828"/>
          <w:sz w:val="24"/>
          <w:szCs w:val="24"/>
        </w:rPr>
        <w:t>"ADelier Commerce is an expert-led marketplace growth partner for consumer brands and the agencies that serve them. We improve how products are positioned, presented and managed on Amazon, and train teams to repeat the gains through practical, AI-enabled workflows."</w:t>
      </w:r>
    </w:p>
    <w:p>
      <w:pPr>
        <w:pStyle w:val="Heading3"/>
        <w:keepNext/>
        <w:keepLines/>
        <w:widowControl/>
      </w:pPr>
      <w:r>
        <w:rPr>
          <w:rFonts w:ascii="Inter" w:hAnsi="Inter" w:eastAsia="Inter" w:cs="Inter"/>
          <w:color w:val="315BFF"/>
        </w:rPr>
        <w:t xml:space="preserve">Ninety-second version</w:t>
      </w:r>
    </w:p>
    <w:p>
      <w:pPr>
        <w:spacing w:after="140"/>
      </w:pPr>
      <w:r>
        <w:rPr>
          <w:rFonts w:ascii="Inter" w:hAnsi="Inter" w:eastAsia="Inter" w:cs="Inter"/>
          <w:color w:val="101828"/>
        </w:rPr>
        <w:t>Many companies have strong products but weak marketplace execution: unclear reasons to choose, inconsistent listings, slow creative production and teams that depend too heavily on outside suppliers. ADelier combines commercial positioning, conversion-focused content, managed execution and applied training. We can deliver under an agency's brand, co-build with an internal team or transfer the system through workshops and coaching. The work is expert-led, AI-enabled and delivered through a lean Poland-based model serving international clients.</w:t>
      </w:r>
    </w:p>
    <w:p>
      <w:pPr>
        <w:pStyle w:val="Heading3"/>
        <w:keepNext/>
        <w:keepLines/>
        <w:widowControl/>
      </w:pPr>
      <w:r>
        <w:rPr>
          <w:rFonts w:ascii="Inter" w:hAnsi="Inter" w:eastAsia="Inter" w:cs="Inter"/>
          <w:color w:val="315BFF"/>
        </w:rPr>
        <w:t xml:space="preserve">Approved boilerplate</w:t>
      </w:r>
    </w:p>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360"/>
      </w:tblGrid>
      <w:tr>
        <w:trPr>
          <w:cantSplit/>
          <w:tblHeader w:val="true"/>
        </w:trPr>
        <w:tc>
          <w:tcPr>
            <w:tcW w:type="dxa" w:w="9360"/>
            <w:tcBorders>
              <w:top w:val="nil" w:color="FFFFFF" w:sz="0"/>
              <w:left w:val="single" w:color="315BFF" w:sz="20" w:space="0"/>
              <w:bottom w:val="nil" w:color="FFFFFF" w:sz="0"/>
              <w:right w:val="none" w:color="FFFFFF" w:sz="0"/>
              <w:end w:val="nil"/>
            </w:tcBorders>
            <w:shd w:fill="EAF0FF" w:color="auto" w:val="clear"/>
            <w:tcMar>
              <w:top w:type="dxa" w:w="120"/>
              <w:left w:type="dxa" w:w="240"/>
              <w:bottom w:type="dxa" w:w="120"/>
              <w:right w:type="dxa" w:w="240"/>
              <w:start w:w="160" w:type="dxa"/>
              <w:end w:w="160" w:type="dxa"/>
            </w:tcMar>
          </w:tcPr>
          <w:p>
            <w:pPr>
              <w:spacing w:after="70"/>
            </w:pPr>
            <w:r>
              <w:rPr>
                <w:rFonts w:ascii="Inter" w:hAnsi="Inter" w:eastAsia="Inter" w:cs="Inter"/>
                <w:color w:val="101828"/>
                <w:sz w:val="19"/>
                <w:szCs w:val="19"/>
              </w:rPr>
              <w:t xml:space="preserve">ADelier Commerce is a marketplace growth partner helping consumer brands and marketing agencies improve Amazon positioning, conversion content, execution and team capability through marketplace expertise, AI-enabled workflows and practical training. Clients can use ADelier as a white-label delivery partner, co-build solutions with its specialists, or train their teams through applied marketplace and AI programs.</w:t>
            </w:r>
          </w:p>
        </w:tc>
      </w:tr>
    </w:tbl>
    <w:p>
      <w:pPr>
        <w:spacing w:after="160" w:before="0"/>
      </w:pPr>
    </w:p>
    <w:p>
      <w:pPr>
        <w:keepNext/>
        <w:spacing w:after="40" w:before="360"/>
      </w:pPr>
      <w:r>
        <w:rPr>
          <w:rFonts w:ascii="Inter" w:hAnsi="Inter" w:eastAsia="Inter" w:cs="Inter"/>
          <w:b/>
          <w:bCs/>
          <w:color w:val="315BFF"/>
          <w:spacing w:val="20"/>
          <w:sz w:val="16"/>
          <w:szCs w:val="16"/>
        </w:rPr>
        <w:t xml:space="preserve">2.3 AGENCY MESSAGING</w:t>
      </w:r>
    </w:p>
    <w:p>
      <w:pPr>
        <w:pStyle w:val="Heading2"/>
        <w:keepNext/>
        <w:keepLines/>
        <w:widowControl/>
        <w:spacing w:before="0"/>
      </w:pPr>
      <w:r>
        <w:rPr>
          <w:rFonts w:ascii="Manrope" w:hAnsi="Manrope" w:eastAsia="Manrope" w:cs="Manrope"/>
          <w:color w:val="101828"/>
        </w:rPr>
        <w:t xml:space="preserve">Speak to growth, control and trust</w:t>
      </w:r>
    </w:p>
    <w:p>
      <w:pPr>
        <w:spacing w:after="140"/>
      </w:pPr>
      <w:r>
        <w:rPr>
          <w:rFonts w:ascii="Inter" w:hAnsi="Inter" w:eastAsia="Inter" w:cs="Inter"/>
          <w:color w:val="101828"/>
        </w:rPr>
        <w:t xml:space="preserve">Agency buyers need to believe ADelier will strengthen their offer without weakening ownership of the client relationship or creating operational risk.</w:t>
      </w:r>
    </w:p>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360"/>
      </w:tblGrid>
      <w:tr>
        <w:trPr>
          <w:cantSplit/>
          <w:tblHeader w:val="true"/>
        </w:trPr>
        <w:tc>
          <w:tcPr>
            <w:tcW w:type="dxa" w:w="9360"/>
            <w:tcBorders>
              <w:top w:val="nil" w:color="FFFFFF" w:sz="0"/>
              <w:left w:val="single" w:color="3FAF8F" w:sz="20" w:space="0"/>
              <w:bottom w:val="nil" w:color="FFFFFF" w:sz="0"/>
              <w:right w:val="none" w:color="FFFFFF" w:sz="0"/>
              <w:end w:val="nil"/>
            </w:tcBorders>
            <w:shd w:fill="101828" w:color="auto" w:val="clear"/>
            <w:tcMar>
              <w:top w:type="dxa" w:w="120"/>
              <w:left w:type="dxa" w:w="240"/>
              <w:bottom w:type="dxa" w:w="120"/>
              <w:right w:type="dxa" w:w="240"/>
              <w:start w:w="160" w:type="dxa"/>
              <w:end w:w="160" w:type="dxa"/>
            </w:tcMar>
          </w:tcPr>
          <w:p>
            <w:pPr>
              <w:spacing w:after="60"/>
            </w:pPr>
            <w:r>
              <w:rPr>
                <w:rFonts w:ascii="Inter" w:cs="Inter" w:eastAsia="Inter" w:hAnsi="Inter"/>
                <w:b/>
                <w:bCs/>
                <w:color w:val="FFFFFF"/>
                <w:sz w:val="26"/>
                <w:szCs w:val="26"/>
              </w:rPr>
              <w:t xml:space="preserve">Expand your Amazon offer. Keep the client relationship.</w:t>
            </w:r>
          </w:p>
        </w:tc>
      </w:tr>
    </w:tbl>
    <w:p>
      <w:pPr>
        <w:spacing w:after="160" w:before="0"/>
      </w:pPr>
    </w:p>
    <w:p>
      <w:pPr>
        <w:spacing w:after="140"/>
      </w:pPr>
      <w:r>
        <w:rPr>
          <w:rFonts w:ascii="Inter" w:hAnsi="Inter" w:eastAsia="Inter" w:cs="Inter"/>
          <w:color w:val="101828"/>
        </w:rPr>
        <w:t>ADelier provides white-label marketplace strategy, listing optimization, conversion creative, AI-assisted research and team training, with expert quality control, flexible capacity and explicit protection of your client relationships.</w:t>
      </w:r>
    </w:p>
    <w:tbl>
      <w:tblPr>
        <w:tblW w:type="dxa" w:w="9360"/>
        <w:tblBorders>
          <w:top w:val="nil" w:color="D9DEE8" w:sz="4"/>
          <w:left w:val="none" w:color="FFFFFF" w:sz="0"/>
          <w:bottom w:val="single" w:color="D9DEE8" w:sz="5" w:space="0"/>
          <w:right w:val="none" w:color="FFFFFF" w:sz="0"/>
          <w:insideH w:val="single" w:color="D9DEE8" w:sz="5" w:space="0"/>
          <w:insideV w:val="nil" w:color="FFFFFF" w:sz="0"/>
          <w:start w:val="nil"/>
          <w:end w:val="nil"/>
        </w:tblBorders>
        <w:tblLayout w:type="fixed"/>
      </w:tblPr>
      <w:tblGrid>
        <w:gridCol w:w="2808"/>
        <w:gridCol w:w="6552"/>
      </w:tblGrid>
      <w:tr>
        <w:trPr>
          <w:cantSplit/>
          <w:tblHeader w:val="true"/>
        </w:trPr>
        <w:tc>
          <w:tcPr>
            <w:tcW w:type="dxa" w:w="2808"/>
            <w:shd w:fill="101828" w:color="auto" w:val="clear"/>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FFFFFF"/>
                <w:sz w:val="18"/>
                <w:szCs w:val="18"/>
              </w:rPr>
              <w:t xml:space="preserve">Value pillar</w:t>
            </w:r>
          </w:p>
        </w:tc>
        <w:tc>
          <w:tcPr>
            <w:tcW w:type="dxa" w:w="6552"/>
            <w:shd w:fill="101828" w:color="auto" w:val="clear"/>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FFFFFF"/>
                <w:sz w:val="18"/>
                <w:szCs w:val="18"/>
              </w:rPr>
              <w:t xml:space="preserve">Message</w:t>
            </w:r>
          </w:p>
        </w:tc>
      </w:tr>
      <w:tr>
        <w:trPr>
          <w:cantSplit/>
          <w:tblHeader w:val="false"/>
        </w:trPr>
        <w:tc>
          <w:tcPr>
            <w:tcW w:type="dxa" w:w="2808"/>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101828"/>
                <w:sz w:val="18"/>
                <w:szCs w:val="18"/>
              </w:rPr>
              <w:t xml:space="preserve">Add capability faster</w:t>
            </w:r>
          </w:p>
        </w:tc>
        <w:tc>
          <w:tcPr>
            <w:tcW w:type="dxa" w:w="6552"/>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Respond to Amazon opportunities without waiting to recruit and build a complete specialist team.</w:t>
            </w:r>
          </w:p>
        </w:tc>
      </w:tr>
      <w:tr>
        <w:trPr>
          <w:cantSplit/>
          <w:tblHeader w:val="false"/>
        </w:trPr>
        <w:tc>
          <w:tcPr>
            <w:tcW w:type="dxa" w:w="2808"/>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101828"/>
                <w:sz w:val="18"/>
                <w:szCs w:val="18"/>
              </w:rPr>
              <w:t xml:space="preserve">Protect the relationship</w:t>
            </w:r>
          </w:p>
        </w:tc>
        <w:tc>
          <w:tcPr>
            <w:tcW w:type="dxa" w:w="6552"/>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Choose white-label or co-delivery with clear non-solicitation, confidentiality and account protection.</w:t>
            </w:r>
          </w:p>
        </w:tc>
      </w:tr>
      <w:tr>
        <w:trPr>
          <w:cantSplit/>
          <w:tblHeader w:val="false"/>
        </w:trPr>
        <w:tc>
          <w:tcPr>
            <w:tcW w:type="dxa" w:w="2808"/>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101828"/>
                <w:sz w:val="18"/>
                <w:szCs w:val="18"/>
              </w:rPr>
              <w:t xml:space="preserve">Improve delivery quality</w:t>
            </w:r>
          </w:p>
        </w:tc>
        <w:tc>
          <w:tcPr>
            <w:tcW w:type="dxa" w:w="6552"/>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Use a repeatable commercial method, expert review and defined quality standards.</w:t>
            </w:r>
          </w:p>
        </w:tc>
      </w:tr>
      <w:tr>
        <w:trPr>
          <w:cantSplit/>
          <w:tblHeader w:val="false"/>
        </w:trPr>
        <w:tc>
          <w:tcPr>
            <w:tcW w:type="dxa" w:w="2808"/>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101828"/>
                <w:sz w:val="18"/>
                <w:szCs w:val="18"/>
              </w:rPr>
              <w:t xml:space="preserve">Protect agency economics</w:t>
            </w:r>
          </w:p>
        </w:tc>
        <w:tc>
          <w:tcPr>
            <w:tcW w:type="dxa" w:w="6552"/>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Use flexible European delivery capacity rather than carrying full fixed overhead from the beginning.</w:t>
            </w:r>
          </w:p>
        </w:tc>
      </w:tr>
      <w:tr>
        <w:trPr>
          <w:cantSplit/>
          <w:tblHeader w:val="false"/>
        </w:trPr>
        <w:tc>
          <w:tcPr>
            <w:tcW w:type="dxa" w:w="2808"/>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101828"/>
                <w:sz w:val="18"/>
                <w:szCs w:val="18"/>
              </w:rPr>
              <w:t xml:space="preserve">Build your own capability</w:t>
            </w:r>
          </w:p>
        </w:tc>
        <w:tc>
          <w:tcPr>
            <w:tcW w:type="dxa" w:w="6552"/>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Train account, strategy and production teams while ADelier supports advanced work and overflow.</w:t>
            </w:r>
          </w:p>
        </w:tc>
      </w:tr>
      <w:tr>
        <w:trPr>
          <w:cantSplit/>
          <w:tblHeader w:val="false"/>
        </w:trPr>
        <w:tc>
          <w:tcPr>
            <w:tcW w:type="dxa" w:w="2808"/>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101828"/>
                <w:sz w:val="18"/>
                <w:szCs w:val="18"/>
              </w:rPr>
              <w:t xml:space="preserve">Present stronger thinking</w:t>
            </w:r>
          </w:p>
        </w:tc>
        <w:tc>
          <w:tcPr>
            <w:tcW w:type="dxa" w:w="6552"/>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Bring shopper insight, positioning and conversion logic into pitches and client reviews.</w:t>
            </w:r>
          </w:p>
        </w:tc>
      </w:tr>
    </w:tbl>
    <w:p>
      <w:pPr>
        <w:spacing w:after="160" w:before="0"/>
      </w:pPr>
    </w:p>
    <w:p>
      <w:pPr>
        <w:spacing w:after="140"/>
      </w:pPr>
      <w:r>
        <w:rPr>
          <w:rFonts w:ascii="Inter" w:hAnsi="Inter" w:eastAsia="Inter" w:cs="Inter"/>
          <w:b/>
          <w:bCs/>
          <w:color w:val="101828"/>
        </w:rPr>
        <w:t xml:space="preserve">Agency calls to action:</w:t>
      </w:r>
      <w:r>
        <w:rPr>
          <w:rFonts w:ascii="Inter" w:hAnsi="Inter" w:eastAsia="Inter" w:cs="Inter"/>
          <w:color w:val="101828"/>
        </w:rPr>
        <w:t xml:space="preserve"> Explore agency partnerships; Discuss a white-label project; Add Amazon capability; Request partner terms; Bring us a live client opportunity.</w:t>
      </w:r>
    </w:p>
    <w:p>
      <w:pPr>
        <w:keepNext/>
        <w:spacing w:after="40" w:before="360"/>
      </w:pPr>
      <w:r>
        <w:rPr>
          <w:rFonts w:ascii="Inter" w:hAnsi="Inter" w:eastAsia="Inter" w:cs="Inter"/>
          <w:b/>
          <w:bCs/>
          <w:color w:val="315BFF"/>
          <w:spacing w:val="20"/>
          <w:sz w:val="16"/>
          <w:szCs w:val="16"/>
        </w:rPr>
        <w:t xml:space="preserve">2.4 BRAND MESSAGING</w:t>
      </w:r>
    </w:p>
    <w:p>
      <w:pPr>
        <w:pStyle w:val="Heading2"/>
        <w:keepNext/>
        <w:keepLines/>
        <w:widowControl/>
        <w:spacing w:before="0"/>
      </w:pPr>
      <w:r>
        <w:rPr>
          <w:rFonts w:ascii="Manrope" w:hAnsi="Manrope" w:eastAsia="Manrope" w:cs="Manrope"/>
          <w:color w:val="101828"/>
        </w:rPr>
        <w:t xml:space="preserve">Speak to choice, performance and independence</w:t>
      </w:r>
    </w:p>
    <w:p>
      <w:pPr>
        <w:spacing w:after="140"/>
      </w:pPr>
      <w:r>
        <w:rPr>
          <w:rFonts w:ascii="Inter" w:hAnsi="Inter" w:eastAsia="Inter" w:cs="Inter"/>
          <w:color w:val="101828"/>
        </w:rPr>
        <w:t xml:space="preserve">Direct brands should see ADelier as a specialist partner that improves the product page and the operating capability behind it.</w:t>
      </w:r>
    </w:p>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360"/>
      </w:tblGrid>
      <w:tr>
        <w:trPr>
          <w:cantSplit/>
          <w:tblHeader w:val="true"/>
        </w:trPr>
        <w:tc>
          <w:tcPr>
            <w:tcW w:type="dxa" w:w="9360"/>
            <w:tcBorders>
              <w:top w:val="nil" w:color="FFFFFF" w:sz="0"/>
              <w:left w:val="single" w:color="3FAF8F" w:sz="20" w:space="0"/>
              <w:bottom w:val="nil" w:color="FFFFFF" w:sz="0"/>
              <w:right w:val="none" w:color="FFFFFF" w:sz="0"/>
              <w:end w:val="nil"/>
            </w:tcBorders>
            <w:shd w:fill="101828" w:color="auto" w:val="clear"/>
            <w:tcMar>
              <w:top w:type="dxa" w:w="120"/>
              <w:left w:type="dxa" w:w="240"/>
              <w:bottom w:type="dxa" w:w="120"/>
              <w:right w:type="dxa" w:w="240"/>
              <w:start w:w="160" w:type="dxa"/>
              <w:end w:w="160" w:type="dxa"/>
            </w:tcMar>
          </w:tcPr>
          <w:p>
            <w:pPr>
              <w:spacing w:after="60"/>
            </w:pPr>
            <w:r>
              <w:rPr>
                <w:rFonts w:ascii="Inter" w:cs="Inter" w:eastAsia="Inter" w:hAnsi="Inter"/>
                <w:b/>
                <w:bCs/>
                <w:color w:val="FFFFFF"/>
                <w:sz w:val="26"/>
                <w:szCs w:val="26"/>
              </w:rPr>
              <w:t xml:space="preserve">Make your product the obvious choice.</w:t>
            </w:r>
          </w:p>
        </w:tc>
      </w:tr>
    </w:tbl>
    <w:p>
      <w:pPr>
        <w:spacing w:after="160" w:before="0"/>
      </w:pPr>
    </w:p>
    <w:p>
      <w:pPr>
        <w:spacing w:after="140"/>
      </w:pPr>
      <w:r>
        <w:rPr>
          <w:rFonts w:ascii="Inter" w:hAnsi="Inter" w:eastAsia="Inter" w:cs="Inter"/>
          <w:color w:val="101828"/>
        </w:rPr>
        <w:t xml:space="preserve">ADelier sharpens marketplace positioning, rebuilds conversion content and improves the workflows behind execution so more of the right shoppers understand, trust and choose the product.</w:t>
      </w:r>
    </w:p>
    <w:tbl>
      <w:tblPr>
        <w:tblW w:type="dxa" w:w="9360"/>
        <w:tblBorders>
          <w:top w:val="nil" w:color="D9DEE8" w:sz="4"/>
          <w:left w:val="none" w:color="FFFFFF" w:sz="0"/>
          <w:bottom w:val="single" w:color="D9DEE8" w:sz="5" w:space="0"/>
          <w:right w:val="none" w:color="FFFFFF" w:sz="0"/>
          <w:insideH w:val="single" w:color="D9DEE8" w:sz="5" w:space="0"/>
          <w:insideV w:val="nil" w:color="FFFFFF" w:sz="0"/>
          <w:start w:val="nil"/>
          <w:end w:val="nil"/>
        </w:tblBorders>
        <w:tblLayout w:type="fixed"/>
      </w:tblPr>
      <w:tblGrid>
        <w:gridCol w:w="2808"/>
        <w:gridCol w:w="6552"/>
      </w:tblGrid>
      <w:tr>
        <w:trPr>
          <w:cantSplit/>
          <w:tblHeader w:val="true"/>
        </w:trPr>
        <w:tc>
          <w:tcPr>
            <w:tcW w:type="dxa" w:w="2808"/>
            <w:shd w:fill="101828" w:color="auto" w:val="clear"/>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FFFFFF"/>
                <w:sz w:val="18"/>
                <w:szCs w:val="18"/>
              </w:rPr>
              <w:t xml:space="preserve">Value pillar</w:t>
            </w:r>
          </w:p>
        </w:tc>
        <w:tc>
          <w:tcPr>
            <w:tcW w:type="dxa" w:w="6552"/>
            <w:shd w:fill="101828" w:color="auto" w:val="clear"/>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FFFFFF"/>
                <w:sz w:val="18"/>
                <w:szCs w:val="18"/>
              </w:rPr>
              <w:t xml:space="preserve">Message</w:t>
            </w:r>
          </w:p>
        </w:tc>
      </w:tr>
      <w:tr>
        <w:trPr>
          <w:cantSplit/>
          <w:tblHeader w:val="false"/>
        </w:trPr>
        <w:tc>
          <w:tcPr>
            <w:tcW w:type="dxa" w:w="2808"/>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101828"/>
                <w:sz w:val="18"/>
                <w:szCs w:val="18"/>
              </w:rPr>
              <w:t xml:space="preserve">Find the real conversion problem</w:t>
            </w:r>
          </w:p>
        </w:tc>
        <w:tc>
          <w:tcPr>
            <w:tcW w:type="dxa" w:w="6552"/>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Separate traffic, positioning, content, offer and operating issues before spending more on production.</w:t>
            </w:r>
          </w:p>
        </w:tc>
      </w:tr>
      <w:tr>
        <w:trPr>
          <w:cantSplit/>
          <w:tblHeader w:val="false"/>
        </w:trPr>
        <w:tc>
          <w:tcPr>
            <w:tcW w:type="dxa" w:w="2808"/>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101828"/>
                <w:sz w:val="18"/>
                <w:szCs w:val="18"/>
              </w:rPr>
              <w:t xml:space="preserve">Clarify the reason to choose</w:t>
            </w:r>
          </w:p>
        </w:tc>
        <w:tc>
          <w:tcPr>
            <w:tcW w:type="dxa" w:w="6552"/>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Organize customer language, evidence, claims and objections into a commercially useful position.</w:t>
            </w:r>
          </w:p>
        </w:tc>
      </w:tr>
      <w:tr>
        <w:trPr>
          <w:cantSplit/>
          <w:tblHeader w:val="false"/>
        </w:trPr>
        <w:tc>
          <w:tcPr>
            <w:tcW w:type="dxa" w:w="2808"/>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101828"/>
                <w:sz w:val="18"/>
                <w:szCs w:val="18"/>
              </w:rPr>
              <w:t xml:space="preserve">Turn the position into assets</w:t>
            </w:r>
          </w:p>
        </w:tc>
        <w:tc>
          <w:tcPr>
            <w:tcW w:type="dxa" w:w="6552"/>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Build listings, creative direction, A+ Content and testing priorities around the decision.</w:t>
            </w:r>
          </w:p>
        </w:tc>
      </w:tr>
      <w:tr>
        <w:trPr>
          <w:cantSplit/>
          <w:tblHeader w:val="false"/>
        </w:trPr>
        <w:tc>
          <w:tcPr>
            <w:tcW w:type="dxa" w:w="2808"/>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101828"/>
                <w:sz w:val="18"/>
                <w:szCs w:val="18"/>
              </w:rPr>
              <w:t xml:space="preserve">Use AI without lowering the bar</w:t>
            </w:r>
          </w:p>
        </w:tc>
        <w:tc>
          <w:tcPr>
            <w:tcW w:type="dxa" w:w="6552"/>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Increase speed and breadth while retaining human accountability, brand control and claim discipline.</w:t>
            </w:r>
          </w:p>
        </w:tc>
      </w:tr>
      <w:tr>
        <w:trPr>
          <w:cantSplit/>
          <w:tblHeader w:val="false"/>
        </w:trPr>
        <w:tc>
          <w:tcPr>
            <w:tcW w:type="dxa" w:w="2808"/>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101828"/>
                <w:sz w:val="18"/>
                <w:szCs w:val="18"/>
              </w:rPr>
              <w:t xml:space="preserve">Strengthen the internal team</w:t>
            </w:r>
          </w:p>
        </w:tc>
        <w:tc>
          <w:tcPr>
            <w:tcW w:type="dxa" w:w="6552"/>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Transfer the method, tools and quality standards through live work and training.</w:t>
            </w:r>
          </w:p>
        </w:tc>
      </w:tr>
      <w:tr>
        <w:trPr>
          <w:cantSplit/>
          <w:tblHeader w:val="false"/>
        </w:trPr>
        <w:tc>
          <w:tcPr>
            <w:tcW w:type="dxa" w:w="2808"/>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101828"/>
                <w:sz w:val="18"/>
                <w:szCs w:val="18"/>
              </w:rPr>
              <w:t xml:space="preserve">Scale across the portfolio</w:t>
            </w:r>
          </w:p>
        </w:tc>
        <w:tc>
          <w:tcPr>
            <w:tcW w:type="dxa" w:w="6552"/>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Apply the system with prioritization, templates, governance and measurable review.</w:t>
            </w:r>
          </w:p>
        </w:tc>
      </w:tr>
    </w:tbl>
    <w:p>
      <w:pPr>
        <w:spacing w:after="160" w:before="0"/>
      </w:pPr>
    </w:p>
    <w:p>
      <w:pPr>
        <w:spacing w:after="140"/>
      </w:pPr>
      <w:r>
        <w:rPr>
          <w:rFonts w:ascii="Inter" w:hAnsi="Inter" w:eastAsia="Inter" w:cs="Inter"/>
          <w:b/>
          <w:bCs/>
          <w:color w:val="101828"/>
        </w:rPr>
        <w:t xml:space="preserve">Brand calls to action:</w:t>
      </w:r>
      <w:r>
        <w:rPr>
          <w:rFonts w:ascii="Inter" w:hAnsi="Inter" w:eastAsia="Inter" w:cs="Inter"/>
          <w:color w:val="101828"/>
        </w:rPr>
        <w:t xml:space="preserve"> Get an ASIN diagnosis; Review an underperforming product; Plan a Position-to-Conversion Sprint; Strengthen our internal team.</w:t>
      </w:r>
    </w:p>
    <w:p>
      <w:pPr>
        <w:keepNext/>
        <w:spacing w:after="40" w:before="360"/>
      </w:pPr>
      <w:r>
        <w:rPr>
          <w:rFonts w:ascii="Inter" w:hAnsi="Inter" w:eastAsia="Inter" w:cs="Inter"/>
          <w:b/>
          <w:bCs/>
          <w:color w:val="315BFF"/>
          <w:spacing w:val="20"/>
          <w:sz w:val="16"/>
          <w:szCs w:val="16"/>
        </w:rPr>
        <w:t xml:space="preserve">2.5 TRAINING MESSAGING</w:t>
      </w:r>
    </w:p>
    <w:p>
      <w:pPr>
        <w:pStyle w:val="Heading2"/>
        <w:keepNext/>
        <w:keepLines/>
        <w:widowControl/>
        <w:spacing w:before="0"/>
      </w:pPr>
      <w:r>
        <w:rPr>
          <w:rFonts w:ascii="Manrope" w:hAnsi="Manrope" w:eastAsia="Manrope" w:cs="Manrope"/>
          <w:color w:val="101828"/>
        </w:rPr>
        <w:t xml:space="preserve">Promise useful capability, not content consumption</w:t>
      </w:r>
    </w:p>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360"/>
      </w:tblGrid>
      <w:tr>
        <w:trPr>
          <w:cantSplit/>
          <w:tblHeader w:val="true"/>
        </w:trPr>
        <w:tc>
          <w:tcPr>
            <w:tcW w:type="dxa" w:w="9360"/>
            <w:tcBorders>
              <w:top w:val="nil" w:color="FFFFFF" w:sz="0"/>
              <w:left w:val="single" w:color="3FAF8F" w:sz="20" w:space="0"/>
              <w:bottom w:val="nil" w:color="FFFFFF" w:sz="0"/>
              <w:right w:val="none" w:color="FFFFFF" w:sz="0"/>
              <w:end w:val="nil"/>
            </w:tcBorders>
            <w:shd w:fill="101828" w:color="auto" w:val="clear"/>
            <w:tcMar>
              <w:top w:type="dxa" w:w="120"/>
              <w:left w:type="dxa" w:w="240"/>
              <w:bottom w:type="dxa" w:w="120"/>
              <w:right w:type="dxa" w:w="240"/>
              <w:start w:w="160" w:type="dxa"/>
              <w:end w:w="160" w:type="dxa"/>
            </w:tcMar>
          </w:tcPr>
          <w:p>
            <w:pPr>
              <w:spacing w:after="60"/>
            </w:pPr>
            <w:r>
              <w:rPr>
                <w:rFonts w:ascii="Inter" w:cs="Inter" w:eastAsia="Inter" w:hAnsi="Inter"/>
                <w:b/>
                <w:bCs/>
                <w:color w:val="FFFFFF"/>
                <w:sz w:val="26"/>
                <w:szCs w:val="26"/>
              </w:rPr>
              <w:t xml:space="preserve">Build the capability to repeat the gains.</w:t>
            </w:r>
          </w:p>
        </w:tc>
      </w:tr>
    </w:tbl>
    <w:p>
      <w:pPr>
        <w:spacing w:after="160" w:before="0"/>
      </w:pPr>
    </w:p>
    <w:p>
      <w:pPr>
        <w:spacing w:after="140"/>
      </w:pPr>
      <w:r>
        <w:rPr>
          <w:rFonts w:ascii="Inter" w:hAnsi="Inter" w:eastAsia="Inter" w:cs="Inter"/>
          <w:color w:val="101828"/>
        </w:rPr>
        <w:t xml:space="preserve">ADelier training uses your products, workflows and marketplace challenges. Teams leave with improved assets, practical tools, quality standards and a clear implementation plan, not only a certificate of attendance.</w:t>
      </w:r>
    </w:p>
    <w:tbl>
      <w:tblPr>
        <w:tblW w:type="dxa" w:w="9360"/>
        <w:tblBorders>
          <w:top w:val="nil" w:color="D9DEE8" w:sz="4"/>
          <w:left w:val="none" w:color="FFFFFF" w:sz="0"/>
          <w:bottom w:val="single" w:color="D9DEE8" w:sz="5" w:space="0"/>
          <w:right w:val="none" w:color="FFFFFF" w:sz="0"/>
          <w:insideH w:val="single" w:color="D9DEE8" w:sz="5" w:space="0"/>
          <w:insideV w:val="nil" w:color="FFFFFF" w:sz="0"/>
          <w:start w:val="nil"/>
          <w:end w:val="nil"/>
        </w:tblBorders>
        <w:tblLayout w:type="fixed"/>
      </w:tblPr>
      <w:tblGrid>
        <w:gridCol w:w="2059"/>
        <w:gridCol w:w="3182"/>
        <w:gridCol w:w="4119"/>
      </w:tblGrid>
      <w:tr>
        <w:trPr>
          <w:cantSplit/>
          <w:tblHeader w:val="true"/>
        </w:trPr>
        <w:tc>
          <w:tcPr>
            <w:tcW w:type="dxa" w:w="2059"/>
            <w:shd w:fill="101828" w:color="auto" w:val="clear"/>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FFFFFF"/>
                <w:sz w:val="18"/>
                <w:szCs w:val="18"/>
              </w:rPr>
              <w:t xml:space="preserve">Element</w:t>
            </w:r>
          </w:p>
        </w:tc>
        <w:tc>
          <w:tcPr>
            <w:tcW w:type="dxa" w:w="3182"/>
            <w:shd w:fill="101828" w:color="auto" w:val="clear"/>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FFFFFF"/>
                <w:sz w:val="18"/>
                <w:szCs w:val="18"/>
              </w:rPr>
              <w:t xml:space="preserve">Question to answer</w:t>
            </w:r>
          </w:p>
        </w:tc>
        <w:tc>
          <w:tcPr>
            <w:tcW w:type="dxa" w:w="4119"/>
            <w:shd w:fill="101828" w:color="auto" w:val="clear"/>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FFFFFF"/>
                <w:sz w:val="18"/>
                <w:szCs w:val="18"/>
              </w:rPr>
              <w:t xml:space="preserve">Example</w:t>
            </w:r>
          </w:p>
        </w:tc>
      </w:tr>
      <w:tr>
        <w:trPr>
          <w:cantSplit/>
          <w:tblHeader w:val="false"/>
        </w:trPr>
        <w:tc>
          <w:tcPr>
            <w:tcW w:type="dxa" w:w="2059"/>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101828"/>
                <w:sz w:val="18"/>
                <w:szCs w:val="18"/>
              </w:rPr>
              <w:t xml:space="preserve">Audience</w:t>
            </w:r>
          </w:p>
        </w:tc>
        <w:tc>
          <w:tcPr>
            <w:tcW w:type="dxa" w:w="3182"/>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Who is the program built for?</w:t>
            </w:r>
          </w:p>
        </w:tc>
        <w:tc>
          <w:tcPr>
            <w:tcW w:type="dxa" w:w="4119"/>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Marketing, e-commerce and agency teams responsible for Amazon content and growth</w:t>
            </w:r>
          </w:p>
        </w:tc>
      </w:tr>
      <w:tr>
        <w:trPr>
          <w:cantSplit/>
          <w:tblHeader w:val="false"/>
        </w:trPr>
        <w:tc>
          <w:tcPr>
            <w:tcW w:type="dxa" w:w="2059"/>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101828"/>
                <w:sz w:val="18"/>
                <w:szCs w:val="18"/>
              </w:rPr>
              <w:t xml:space="preserve">Business problem</w:t>
            </w:r>
          </w:p>
        </w:tc>
        <w:tc>
          <w:tcPr>
            <w:tcW w:type="dxa" w:w="3182"/>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What is too slow, inconsistent or unclear?</w:t>
            </w:r>
          </w:p>
        </w:tc>
        <w:tc>
          <w:tcPr>
            <w:tcW w:type="dxa" w:w="4119"/>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The team uses AI, but outputs vary and expert review takes too long</w:t>
            </w:r>
          </w:p>
        </w:tc>
      </w:tr>
      <w:tr>
        <w:trPr>
          <w:cantSplit/>
          <w:tblHeader w:val="false"/>
        </w:trPr>
        <w:tc>
          <w:tcPr>
            <w:tcW w:type="dxa" w:w="2059"/>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101828"/>
                <w:sz w:val="18"/>
                <w:szCs w:val="18"/>
              </w:rPr>
              <w:t xml:space="preserve">Applied outcome</w:t>
            </w:r>
          </w:p>
        </w:tc>
        <w:tc>
          <w:tcPr>
            <w:tcW w:type="dxa" w:w="3182"/>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What real work will be improved?</w:t>
            </w:r>
          </w:p>
        </w:tc>
        <w:tc>
          <w:tcPr>
            <w:tcW w:type="dxa" w:w="4119"/>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A repeatable review-to-positioning-to-listing workflow for selected products</w:t>
            </w:r>
          </w:p>
        </w:tc>
      </w:tr>
      <w:tr>
        <w:trPr>
          <w:cantSplit/>
          <w:tblHeader w:val="false"/>
        </w:trPr>
        <w:tc>
          <w:tcPr>
            <w:tcW w:type="dxa" w:w="2059"/>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101828"/>
                <w:sz w:val="18"/>
                <w:szCs w:val="18"/>
              </w:rPr>
              <w:t xml:space="preserve">Capability outcome</w:t>
            </w:r>
          </w:p>
        </w:tc>
        <w:tc>
          <w:tcPr>
            <w:tcW w:type="dxa" w:w="3182"/>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What will participants be able to repeat?</w:t>
            </w:r>
          </w:p>
        </w:tc>
        <w:tc>
          <w:tcPr>
            <w:tcW w:type="dxa" w:w="4119"/>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Research, draft, evaluate and improve content against a shared standard</w:t>
            </w:r>
          </w:p>
        </w:tc>
      </w:tr>
      <w:tr>
        <w:trPr>
          <w:cantSplit/>
          <w:tblHeader w:val="false"/>
        </w:trPr>
        <w:tc>
          <w:tcPr>
            <w:tcW w:type="dxa" w:w="2059"/>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101828"/>
                <w:sz w:val="18"/>
                <w:szCs w:val="18"/>
              </w:rPr>
              <w:t xml:space="preserve">Evidence</w:t>
            </w:r>
          </w:p>
        </w:tc>
        <w:tc>
          <w:tcPr>
            <w:tcW w:type="dxa" w:w="3182"/>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How will progress be judged?</w:t>
            </w:r>
          </w:p>
        </w:tc>
        <w:tc>
          <w:tcPr>
            <w:tcW w:type="dxa" w:w="4119"/>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Quality rubric, live output, adoption review and follow-up action plan</w:t>
            </w:r>
          </w:p>
        </w:tc>
      </w:tr>
    </w:tbl>
    <w:p>
      <w:pPr>
        <w:spacing w:after="160" w:before="0"/>
      </w:pPr>
    </w:p>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360"/>
      </w:tblGrid>
      <w:tr>
        <w:trPr>
          <w:cantSplit/>
          <w:tblHeader w:val="true"/>
        </w:trPr>
        <w:tc>
          <w:tcPr>
            <w:tcW w:type="dxa" w:w="9360"/>
            <w:tcBorders>
              <w:top w:val="nil" w:color="FFFFFF" w:sz="0"/>
              <w:left w:val="single" w:color="315BFF" w:sz="20" w:space="0"/>
              <w:bottom w:val="nil" w:color="FFFFFF" w:sz="0"/>
              <w:right w:val="none" w:color="FFFFFF" w:sz="0"/>
              <w:end w:val="nil"/>
            </w:tcBorders>
            <w:shd w:fill="EAF0FF" w:color="auto" w:val="clear"/>
            <w:tcMar>
              <w:top w:type="dxa" w:w="120"/>
              <w:left w:type="dxa" w:w="240"/>
              <w:bottom w:type="dxa" w:w="120"/>
              <w:right w:type="dxa" w:w="240"/>
              <w:start w:w="160" w:type="dxa"/>
              <w:end w:w="160" w:type="dxa"/>
            </w:tcMar>
          </w:tcPr>
          <w:p>
            <w:pPr>
              <w:spacing w:after="70"/>
            </w:pPr>
            <w:r>
              <w:rPr>
                <w:rFonts w:ascii="Inter" w:hAnsi="Inter" w:eastAsia="Inter" w:cs="Inter"/>
                <w:b/>
                <w:bCs/>
                <w:color w:val="101828"/>
                <w:sz w:val="19"/>
                <w:szCs w:val="19"/>
              </w:rPr>
              <w:t xml:space="preserve">Avoid:</w:t>
            </w:r>
            <w:r>
              <w:rPr>
                <w:rFonts w:ascii="Inter" w:hAnsi="Inter" w:eastAsia="Inter" w:cs="Inter"/>
                <w:color w:val="101828"/>
                <w:sz w:val="19"/>
                <w:szCs w:val="19"/>
              </w:rPr>
              <w:t xml:space="preserve"> "Learn the latest AI hacks for Amazon." It sounds disposable, tool-led and easy to copy.</w:t>
            </w:r>
          </w:p>
          <w:p>
            <w:pPr>
              <w:spacing w:after="70"/>
            </w:pPr>
            <w:r>
              <w:rPr>
                <w:rFonts w:ascii="Inter" w:hAnsi="Inter" w:eastAsia="Inter" w:cs="Inter"/>
                <w:b/>
                <w:bCs/>
                <w:color w:val="101828"/>
                <w:sz w:val="19"/>
                <w:szCs w:val="19"/>
              </w:rPr>
              <w:t xml:space="preserve">Prefer:</w:t>
            </w:r>
            <w:r>
              <w:rPr>
                <w:rFonts w:ascii="Inter" w:hAnsi="Inter" w:eastAsia="Inter" w:cs="Inter"/>
                <w:color w:val="101828"/>
                <w:sz w:val="19"/>
                <w:szCs w:val="19"/>
              </w:rPr>
              <w:t xml:space="preserve"> "Build a quality-controlled AI workflow for marketplace research and content, applied to your own products."</w:t>
            </w:r>
          </w:p>
        </w:tc>
      </w:tr>
    </w:tbl>
    <w:p>
      <w:pPr>
        <w:spacing w:after="160" w:before="0"/>
      </w:pPr>
    </w:p>
    <w:p>
      <w:pPr>
        <w:keepNext/>
        <w:spacing w:after="40" w:before="360"/>
      </w:pPr>
      <w:r>
        <w:rPr>
          <w:rFonts w:ascii="Inter" w:hAnsi="Inter" w:eastAsia="Inter" w:cs="Inter"/>
          <w:b/>
          <w:bCs/>
          <w:color w:val="315BFF"/>
          <w:spacing w:val="20"/>
          <w:sz w:val="16"/>
          <w:szCs w:val="16"/>
        </w:rPr>
        <w:t xml:space="preserve">2.6 CLAIMS AND PROOF</w:t>
      </w:r>
    </w:p>
    <w:p>
      <w:pPr>
        <w:pStyle w:val="Heading2"/>
        <w:keepNext/>
        <w:keepLines/>
        <w:widowControl/>
        <w:spacing w:before="0"/>
      </w:pPr>
      <w:r>
        <w:rPr>
          <w:rFonts w:ascii="Manrope" w:hAnsi="Manrope" w:eastAsia="Manrope" w:cs="Manrope"/>
          <w:color w:val="101828"/>
        </w:rPr>
        <w:t xml:space="preserve">Say only what the operating model can support</w:t>
      </w:r>
    </w:p>
    <w:tbl>
      <w:tblPr>
        <w:tblW w:type="dxa" w:w="9360"/>
        <w:tblBorders>
          <w:top w:val="nil" w:color="D9DEE8" w:sz="4"/>
          <w:left w:val="none" w:color="FFFFFF" w:sz="0"/>
          <w:bottom w:val="single" w:color="D9DEE8" w:sz="5" w:space="0"/>
          <w:right w:val="none" w:color="FFFFFF" w:sz="0"/>
          <w:insideH w:val="single" w:color="D9DEE8" w:sz="5" w:space="0"/>
          <w:insideV w:val="nil" w:color="FFFFFF" w:sz="0"/>
          <w:start w:val="nil"/>
          <w:end w:val="nil"/>
        </w:tblBorders>
        <w:tblLayout w:type="fixed"/>
      </w:tblPr>
      <w:tblGrid>
        <w:gridCol w:w="1685"/>
        <w:gridCol w:w="3931"/>
        <w:gridCol w:w="3744"/>
      </w:tblGrid>
      <w:tr>
        <w:trPr>
          <w:cantSplit/>
          <w:tblHeader w:val="true"/>
        </w:trPr>
        <w:tc>
          <w:tcPr>
            <w:tcW w:type="dxa" w:w="1685"/>
            <w:shd w:fill="101828" w:color="auto" w:val="clear"/>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FFFFFF"/>
                <w:sz w:val="18"/>
                <w:szCs w:val="18"/>
              </w:rPr>
              <w:t xml:space="preserve">Claim type</w:t>
            </w:r>
          </w:p>
        </w:tc>
        <w:tc>
          <w:tcPr>
            <w:tcW w:type="dxa" w:w="3931"/>
            <w:shd w:fill="101828" w:color="auto" w:val="clear"/>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FFFFFF"/>
                <w:sz w:val="18"/>
                <w:szCs w:val="18"/>
              </w:rPr>
              <w:t xml:space="preserve">Required support</w:t>
            </w:r>
          </w:p>
        </w:tc>
        <w:tc>
          <w:tcPr>
            <w:tcW w:type="dxa" w:w="3744"/>
            <w:shd w:fill="101828" w:color="auto" w:val="clear"/>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FFFFFF"/>
                <w:sz w:val="18"/>
                <w:szCs w:val="18"/>
              </w:rPr>
              <w:t xml:space="preserve">Avoid</w:t>
            </w:r>
          </w:p>
        </w:tc>
      </w:tr>
      <w:tr>
        <w:trPr>
          <w:cantSplit/>
          <w:tblHeader w:val="false"/>
        </w:trPr>
        <w:tc>
          <w:tcPr>
            <w:tcW w:type="dxa" w:w="1685"/>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101828"/>
                <w:sz w:val="18"/>
                <w:szCs w:val="18"/>
              </w:rPr>
              <w:t xml:space="preserve">Performance</w:t>
            </w:r>
          </w:p>
        </w:tc>
        <w:tc>
          <w:tcPr>
            <w:tcW w:type="dxa" w:w="3931"/>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The metric, baseline, intervention and observation period</w:t>
            </w:r>
          </w:p>
        </w:tc>
        <w:tc>
          <w:tcPr>
            <w:tcW w:type="dxa" w:w="3744"/>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Unqualified guarantees of sales growth or conversion improvement</w:t>
            </w:r>
          </w:p>
        </w:tc>
      </w:tr>
      <w:tr>
        <w:trPr>
          <w:cantSplit/>
          <w:tblHeader w:val="false"/>
        </w:trPr>
        <w:tc>
          <w:tcPr>
            <w:tcW w:type="dxa" w:w="1685"/>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101828"/>
                <w:sz w:val="18"/>
                <w:szCs w:val="18"/>
              </w:rPr>
              <w:t xml:space="preserve">Quality</w:t>
            </w:r>
          </w:p>
        </w:tc>
        <w:tc>
          <w:tcPr>
            <w:tcW w:type="dxa" w:w="3931"/>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The review gate, owner, rubric or standard</w:t>
            </w:r>
          </w:p>
        </w:tc>
        <w:tc>
          <w:tcPr>
            <w:tcW w:type="dxa" w:w="3744"/>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"Premium quality" without evidence</w:t>
            </w:r>
          </w:p>
        </w:tc>
      </w:tr>
      <w:tr>
        <w:trPr>
          <w:cantSplit/>
          <w:tblHeader w:val="false"/>
        </w:trPr>
        <w:tc>
          <w:tcPr>
            <w:tcW w:type="dxa" w:w="1685"/>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101828"/>
                <w:sz w:val="18"/>
                <w:szCs w:val="18"/>
              </w:rPr>
              <w:t xml:space="preserve">Expert involvement</w:t>
            </w:r>
          </w:p>
        </w:tc>
        <w:tc>
          <w:tcPr>
            <w:tcW w:type="dxa" w:w="3931"/>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The expert lead's decisions, meetings and approvals</w:t>
            </w:r>
          </w:p>
        </w:tc>
        <w:tc>
          <w:tcPr>
            <w:tcW w:type="dxa" w:w="3744"/>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"Expert-led" when the expert lead only appears in sales</w:t>
            </w:r>
          </w:p>
        </w:tc>
      </w:tr>
      <w:tr>
        <w:trPr>
          <w:cantSplit/>
          <w:tblHeader w:val="false"/>
        </w:trPr>
        <w:tc>
          <w:tcPr>
            <w:tcW w:type="dxa" w:w="1685"/>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101828"/>
                <w:sz w:val="18"/>
                <w:szCs w:val="18"/>
              </w:rPr>
              <w:t xml:space="preserve">AI</w:t>
            </w:r>
          </w:p>
        </w:tc>
        <w:tc>
          <w:tcPr>
            <w:tcW w:type="dxa" w:w="3931"/>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The workflow, human decision point and safeguards</w:t>
            </w:r>
          </w:p>
        </w:tc>
        <w:tc>
          <w:tcPr>
            <w:tcW w:type="dxa" w:w="3744"/>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"Fully automated" or "AI-powered" as a vague badge</w:t>
            </w:r>
          </w:p>
        </w:tc>
      </w:tr>
      <w:tr>
        <w:trPr>
          <w:cantSplit/>
          <w:tblHeader w:val="false"/>
        </w:trPr>
        <w:tc>
          <w:tcPr>
            <w:tcW w:type="dxa" w:w="1685"/>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101828"/>
                <w:sz w:val="18"/>
                <w:szCs w:val="18"/>
              </w:rPr>
              <w:t xml:space="preserve">Training</w:t>
            </w:r>
          </w:p>
        </w:tc>
        <w:tc>
          <w:tcPr>
            <w:tcW w:type="dxa" w:w="3931"/>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Applied outputs, assessment, adoption or independent performance</w:t>
            </w:r>
          </w:p>
        </w:tc>
        <w:tc>
          <w:tcPr>
            <w:tcW w:type="dxa" w:w="3744"/>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Attendance or satisfaction alone as proof of capability</w:t>
            </w:r>
          </w:p>
        </w:tc>
      </w:tr>
      <w:tr>
        <w:trPr>
          <w:cantSplit/>
          <w:tblHeader w:val="false"/>
        </w:trPr>
        <w:tc>
          <w:tcPr>
            <w:tcW w:type="dxa" w:w="1685"/>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101828"/>
                <w:sz w:val="18"/>
                <w:szCs w:val="18"/>
              </w:rPr>
              <w:t xml:space="preserve">Cost advantage</w:t>
            </w:r>
          </w:p>
        </w:tc>
        <w:tc>
          <w:tcPr>
            <w:tcW w:type="dxa" w:w="3931"/>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The operating model and client economics</w:t>
            </w:r>
          </w:p>
        </w:tc>
        <w:tc>
          <w:tcPr>
            <w:tcW w:type="dxa" w:w="3744"/>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Calling the work cheap, low-cost labor or offshore production</w:t>
            </w:r>
          </w:p>
        </w:tc>
      </w:tr>
    </w:tbl>
    <w:p>
      <w:pPr>
        <w:spacing w:after="160" w:before="0"/>
      </w:pPr>
    </w:p>
    <w:p>
      <w:pPr>
        <w:pStyle w:val="Heading3"/>
        <w:keepNext/>
        <w:keepLines/>
        <w:widowControl/>
      </w:pPr>
      <w:r>
        <w:rPr>
          <w:rFonts w:ascii="Inter" w:hAnsi="Inter" w:eastAsia="Inter" w:cs="Inter"/>
          <w:color w:val="315BFF"/>
        </w:rPr>
        <w:t xml:space="preserve">Proof hierarchy</w:t>
      </w:r>
    </w:p>
    <w:p>
      <w:pPr>
        <w:pStyle w:val="ListParagraph"/>
        <w:numPr>
          <w:ilvl w:val="0"/>
          <w:numId w:val="4"/>
        </w:numPr>
        <w:spacing w:after="60"/>
      </w:pPr>
      <w:r>
        <w:rPr>
          <w:rFonts w:ascii="Inter" w:hAnsi="Inter" w:eastAsia="Inter" w:cs="Inter"/>
          <w:b/>
          <w:bCs/>
          <w:color w:val="101828"/>
        </w:rPr>
        <w:t xml:space="preserve">Measured business outcome.</w:t>
      </w:r>
      <w:r>
        <w:rPr>
          <w:rFonts w:ascii="Inter" w:hAnsi="Inter" w:eastAsia="Inter" w:cs="Inter"/>
          <w:color w:val="101828"/>
        </w:rPr>
        <w:t xml:space="preserve"> The strongest proof when attribution and timing are credible.</w:t>
      </w:r>
    </w:p>
    <w:p>
      <w:pPr>
        <w:pStyle w:val="ListParagraph"/>
        <w:numPr>
          <w:ilvl w:val="0"/>
          <w:numId w:val="4"/>
        </w:numPr>
        <w:spacing w:after="60"/>
      </w:pPr>
      <w:r>
        <w:rPr>
          <w:rFonts w:ascii="Inter" w:hAnsi="Inter" w:eastAsia="Inter" w:cs="Inter"/>
          <w:b/>
          <w:bCs/>
          <w:color w:val="101828"/>
        </w:rPr>
        <w:t xml:space="preserve">Before-and-after quality evidence.</w:t>
      </w:r>
      <w:r>
        <w:rPr>
          <w:rFonts w:ascii="Inter" w:hAnsi="Inter" w:eastAsia="Inter" w:cs="Inter"/>
          <w:color w:val="101828"/>
        </w:rPr>
        <w:t xml:space="preserve"> Useful for positioning, listing and creative work even when marketplace data is unavailable.</w:t>
      </w:r>
    </w:p>
    <w:p>
      <w:pPr>
        <w:pStyle w:val="ListParagraph"/>
        <w:numPr>
          <w:ilvl w:val="0"/>
          <w:numId w:val="4"/>
        </w:numPr>
        <w:spacing w:after="60"/>
      </w:pPr>
      <w:r>
        <w:rPr>
          <w:rFonts w:ascii="Inter" w:hAnsi="Inter" w:eastAsia="Inter" w:cs="Inter"/>
          <w:b/>
          <w:bCs/>
          <w:color w:val="101828"/>
        </w:rPr>
        <w:t xml:space="preserve">Process evidence.</w:t>
      </w:r>
      <w:r>
        <w:rPr>
          <w:rFonts w:ascii="Inter" w:hAnsi="Inter" w:eastAsia="Inter" w:cs="Inter"/>
          <w:color w:val="101828"/>
        </w:rPr>
        <w:t xml:space="preserve"> The method, expert review, service level, workflow or governance behind the promise.</w:t>
      </w:r>
    </w:p>
    <w:p>
      <w:pPr>
        <w:pStyle w:val="ListParagraph"/>
        <w:numPr>
          <w:ilvl w:val="0"/>
          <w:numId w:val="4"/>
        </w:numPr>
        <w:spacing w:after="60"/>
      </w:pPr>
      <w:r>
        <w:rPr>
          <w:rFonts w:ascii="Inter" w:hAnsi="Inter" w:eastAsia="Inter" w:cs="Inter"/>
          <w:b/>
          <w:bCs/>
          <w:color w:val="101828"/>
        </w:rPr>
        <w:t xml:space="preserve">Client testimony.</w:t>
      </w:r>
      <w:r>
        <w:rPr>
          <w:rFonts w:ascii="Inter" w:hAnsi="Inter" w:eastAsia="Inter" w:cs="Inter"/>
          <w:color w:val="101828"/>
        </w:rPr>
        <w:t xml:space="preserve"> Most useful when it names a specific benefit such as reliability, speed, clarity or team improvement.</w:t>
      </w:r>
    </w:p>
    <w:p>
      <w:pPr>
        <w:pStyle w:val="ListParagraph"/>
        <w:numPr>
          <w:ilvl w:val="0"/>
          <w:numId w:val="4"/>
        </w:numPr>
        <w:spacing w:after="60"/>
      </w:pPr>
      <w:r>
        <w:rPr>
          <w:rFonts w:ascii="Inter" w:hAnsi="Inter" w:eastAsia="Inter" w:cs="Inter"/>
          <w:b/>
          <w:bCs/>
          <w:color w:val="101828"/>
        </w:rPr>
        <w:t xml:space="preserve">Credential or experience.</w:t>
      </w:r>
      <w:r>
        <w:rPr>
          <w:rFonts w:ascii="Inter" w:hAnsi="Inter" w:eastAsia="Inter" w:cs="Inter"/>
          <w:color w:val="101828"/>
        </w:rPr>
        <w:t xml:space="preserve"> Supports credibility but should not replace evidence of current delivery quality.</w:t>
      </w:r>
    </w:p>
    <w:p>
      <w:pPr>
        <w:spacing w:after="80" w:before="0"/>
      </w:pPr>
    </w:p>
    <w:p>
      <w:pPr>
        <w:keepNext/>
        <w:spacing w:after="40" w:before="360"/>
      </w:pPr>
      <w:r>
        <w:rPr>
          <w:rFonts w:ascii="Inter" w:hAnsi="Inter" w:eastAsia="Inter" w:cs="Inter"/>
          <w:b/>
          <w:bCs/>
          <w:color w:val="315BFF"/>
          <w:spacing w:val="20"/>
          <w:sz w:val="16"/>
          <w:szCs w:val="16"/>
        </w:rPr>
        <w:t xml:space="preserve">2.7 OBJECTION HANDLING</w:t>
      </w:r>
    </w:p>
    <w:p>
      <w:pPr>
        <w:pStyle w:val="Heading2"/>
        <w:keepNext/>
        <w:keepLines/>
        <w:widowControl/>
        <w:spacing w:before="0"/>
      </w:pPr>
      <w:r>
        <w:rPr>
          <w:rFonts w:ascii="Manrope" w:hAnsi="Manrope" w:eastAsia="Manrope" w:cs="Manrope"/>
          <w:color w:val="101828"/>
        </w:rPr>
        <w:t xml:space="preserve">Answer the risk beneath the question</w:t>
      </w:r>
    </w:p>
    <w:tbl>
      <w:tblPr>
        <w:tblW w:type="dxa" w:w="9360"/>
        <w:tblBorders>
          <w:top w:val="nil" w:color="D9DEE8" w:sz="4"/>
          <w:left w:val="none" w:color="FFFFFF" w:sz="0"/>
          <w:bottom w:val="single" w:color="D9DEE8" w:sz="5" w:space="0"/>
          <w:right w:val="none" w:color="FFFFFF" w:sz="0"/>
          <w:insideH w:val="single" w:color="D9DEE8" w:sz="5" w:space="0"/>
          <w:insideV w:val="nil" w:color="FFFFFF" w:sz="0"/>
          <w:start w:val="nil"/>
          <w:end w:val="nil"/>
        </w:tblBorders>
        <w:tblLayout w:type="fixed"/>
      </w:tblPr>
      <w:tblGrid>
        <w:gridCol w:w="2808"/>
        <w:gridCol w:w="6552"/>
      </w:tblGrid>
      <w:tr>
        <w:trPr>
          <w:cantSplit/>
          <w:tblHeader w:val="true"/>
        </w:trPr>
        <w:tc>
          <w:tcPr>
            <w:tcW w:type="dxa" w:w="2808"/>
            <w:shd w:fill="101828" w:color="auto" w:val="clear"/>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FFFFFF"/>
                <w:sz w:val="18"/>
                <w:szCs w:val="18"/>
              </w:rPr>
              <w:t xml:space="preserve">Objection</w:t>
            </w:r>
          </w:p>
        </w:tc>
        <w:tc>
          <w:tcPr>
            <w:tcW w:type="dxa" w:w="6552"/>
            <w:shd w:fill="101828" w:color="auto" w:val="clear"/>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FFFFFF"/>
                <w:sz w:val="18"/>
                <w:szCs w:val="18"/>
              </w:rPr>
              <w:t xml:space="preserve">Response direction</w:t>
            </w:r>
          </w:p>
        </w:tc>
      </w:tr>
      <w:tr>
        <w:trPr>
          <w:cantSplit/>
          <w:tblHeader w:val="false"/>
        </w:trPr>
        <w:tc>
          <w:tcPr>
            <w:tcW w:type="dxa" w:w="2808"/>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101828"/>
                <w:sz w:val="18"/>
                <w:szCs w:val="18"/>
              </w:rPr>
              <w:t xml:space="preserve">"Are you just a cheaper overseas vendor?"</w:t>
            </w:r>
          </w:p>
        </w:tc>
        <w:tc>
          <w:tcPr>
            <w:tcW w:type="dxa" w:w="6552"/>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Our operating model is efficient because we are based in Poland, but the offer is built around expert marketplace judgment, defined quality control and international marketplace delivery. We compete on value and reliability, not lowest hourly rate.</w:t>
            </w:r>
          </w:p>
        </w:tc>
      </w:tr>
      <w:tr>
        <w:trPr>
          <w:cantSplit/>
          <w:tblHeader w:val="false"/>
        </w:trPr>
        <w:tc>
          <w:tcPr>
            <w:tcW w:type="dxa" w:w="2808"/>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101828"/>
                <w:sz w:val="18"/>
                <w:szCs w:val="18"/>
              </w:rPr>
              <w:t xml:space="preserve">"Will you approach our clients directly?"</w:t>
            </w:r>
          </w:p>
        </w:tc>
        <w:tc>
          <w:tcPr>
            <w:tcW w:type="dxa" w:w="6552"/>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Agency-introduced accounts are protected through contractual non-solicitation and non-circumvention terms. You choose whether delivery is white-label or co-delivered.</w:t>
            </w:r>
          </w:p>
        </w:tc>
      </w:tr>
      <w:tr>
        <w:trPr>
          <w:cantSplit/>
          <w:tblHeader w:val="false"/>
        </w:trPr>
        <w:tc>
          <w:tcPr>
            <w:tcW w:type="dxa" w:w="2808"/>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101828"/>
                <w:sz w:val="18"/>
                <w:szCs w:val="18"/>
              </w:rPr>
              <w:t xml:space="preserve">"Why train us if you want recurring work?"</w:t>
            </w:r>
          </w:p>
        </w:tc>
        <w:tc>
          <w:tcPr>
            <w:tcW w:type="dxa" w:w="6552"/>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Clients should choose how much capability they want to own. We can remain the delivery partner, support advanced work or transfer more of the system. The relationship is stronger when responsibilities are explicit.</w:t>
            </w:r>
          </w:p>
        </w:tc>
      </w:tr>
      <w:tr>
        <w:trPr>
          <w:cantSplit/>
          <w:tblHeader w:val="false"/>
        </w:trPr>
        <w:tc>
          <w:tcPr>
            <w:tcW w:type="dxa" w:w="2808"/>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101828"/>
                <w:sz w:val="18"/>
                <w:szCs w:val="18"/>
              </w:rPr>
              <w:t xml:space="preserve">"Does AI mean generic content?"</w:t>
            </w:r>
          </w:p>
        </w:tc>
        <w:tc>
          <w:tcPr>
            <w:tcW w:type="dxa" w:w="6552"/>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AI expands research and accelerates iteration. Experienced people still define the position, verify claims, apply context and approve the final output.</w:t>
            </w:r>
          </w:p>
        </w:tc>
      </w:tr>
      <w:tr>
        <w:trPr>
          <w:cantSplit/>
          <w:tblHeader w:val="false"/>
        </w:trPr>
        <w:tc>
          <w:tcPr>
            <w:tcW w:type="dxa" w:w="2808"/>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101828"/>
                <w:sz w:val="18"/>
                <w:szCs w:val="18"/>
              </w:rPr>
              <w:t xml:space="preserve">"Can you guarantee sales improvement?"</w:t>
            </w:r>
          </w:p>
        </w:tc>
        <w:tc>
          <w:tcPr>
            <w:tcW w:type="dxa" w:w="6552"/>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No responsible partner can guarantee an outcome controlled by traffic, price, inventory, competition and platform factors. We define the conversion hypothesis, baseline and measures, then track the effect of the changes we control.</w:t>
            </w:r>
          </w:p>
        </w:tc>
      </w:tr>
      <w:tr>
        <w:trPr>
          <w:cantSplit/>
          <w:tblHeader w:val="false"/>
        </w:trPr>
        <w:tc>
          <w:tcPr>
            <w:tcW w:type="dxa" w:w="2808"/>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101828"/>
                <w:sz w:val="18"/>
                <w:szCs w:val="18"/>
              </w:rPr>
              <w:t xml:space="preserve">"Why not hire internally?"</w:t>
            </w:r>
          </w:p>
        </w:tc>
        <w:tc>
          <w:tcPr>
            <w:tcW w:type="dxa" w:w="6552"/>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Internal hiring may be right at scale. ADelier helps clients move sooner, access several specialist capabilities, prove the model and decide which work should remain external or become internal.</w:t>
            </w:r>
          </w:p>
        </w:tc>
      </w:tr>
    </w:tbl>
    <w:p>
      <w:pPr>
        <w:spacing w:after="160" w:before="0"/>
      </w:pPr>
    </w:p>
    <w:p>
      <w:pPr>
        <w:pageBreakBefore/>
        <w:spacing w:after="0" w:before="1800"/>
      </w:pPr>
    </w:p>
    <w:tbl>
      <w:tblPr>
        <w:tblW w:type="dxa" w:w="2600"/>
        <w:jc w:val="left"/>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
        <w:gridCol w:w="1880"/>
        <w:gridCol w:w="360"/>
      </w:tblGrid>
      <w:tr>
        <w:trPr>
          <w:trHeight w:val="260" w:hRule="exact"/>
          <w:tblHeader w:val="true"/>
          <w:cantSplit/>
        </w:trPr>
        <w:tc>
          <w:tcPr>
            <w:tcW w:type="dxa" w:w="360"/>
            <w:tcBorders>
              <w:top w:val="single" w:color="315BFF" w:sz="20"/>
              <w:left w:val="single" w:color="315BFF" w:sz="20"/>
              <w:bottom w:val="none" w:color="FFFFFF" w:sz="0"/>
              <w:right w:val="none" w:color="FFFFFF" w:sz="0"/>
            </w:tcBorders>
            <w:tcMar>
              <w:top w:type="dxa" w:w="0"/>
              <w:left w:type="dxa" w:w="0"/>
              <w:bottom w:type="dxa" w:w="0"/>
              <w:right w:type="dxa" w:w="0"/>
            </w:tcMar>
          </w:tcPr>
          <w:p>
            <w:pPr>
              <w:spacing w:after="0" w:line="20" w:lineRule="exact"/>
            </w:pPr>
            <w:r>
              <w:rPr>
                <w:sz w:val="2"/>
                <w:szCs w:val="2"/>
              </w:rPr>
              <w:t xml:space="preserve"/>
            </w:r>
          </w:p>
        </w:tc>
        <w:tc>
          <w:tcPr>
            <w:tcW w:type="dxa" w:w="1880"/>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line="20" w:lineRule="exact"/>
            </w:pPr>
            <w:r>
              <w:rPr>
                <w:sz w:val="2"/>
                <w:szCs w:val="2"/>
              </w:rPr>
              <w:t xml:space="preserve"/>
            </w:r>
          </w:p>
        </w:tc>
        <w:tc>
          <w:tcPr>
            <w:tcW w:type="dxa" w:w="360"/>
            <w:tcBorders>
              <w:top w:val="single" w:color="315BFF" w:sz="20"/>
              <w:left w:val="none" w:color="FFFFFF" w:sz="0"/>
              <w:bottom w:val="none" w:color="FFFFFF" w:sz="0"/>
              <w:right w:val="single" w:color="315BFF" w:sz="20"/>
            </w:tcBorders>
            <w:tcMar>
              <w:top w:type="dxa" w:w="0"/>
              <w:left w:type="dxa" w:w="0"/>
              <w:bottom w:type="dxa" w:w="0"/>
              <w:right w:type="dxa" w:w="0"/>
            </w:tcMar>
          </w:tcPr>
          <w:p>
            <w:pPr>
              <w:spacing w:after="0" w:line="20" w:lineRule="exact"/>
            </w:pPr>
            <w:r>
              <w:rPr>
                <w:sz w:val="2"/>
                <w:szCs w:val="2"/>
              </w:rPr>
              <w:t xml:space="preserve"/>
            </w:r>
          </w:p>
        </w:tc>
      </w:tr>
      <w:tr>
        <w:trPr>
          <w:cantSplit/>
        </w:trPr>
        <w:tc>
          <w:tcPr>
            <w:tcW w:type="dxa" w:w="360"/>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line="20" w:lineRule="exact"/>
            </w:pPr>
            <w:r>
              <w:rPr>
                <w:sz w:val="2"/>
                <w:szCs w:val="2"/>
              </w:rPr>
              <w:t xml:space="preserve"/>
            </w:r>
          </w:p>
        </w:tc>
        <w:tc>
          <w:tcPr>
            <w:tcW w:type="dxa" w:w="1880"/>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1400" w:lineRule="exact"/>
              <w:jc w:val="center"/>
            </w:pPr>
            <w:r>
              <w:rPr>
                <w:rFonts w:ascii="Manrope" w:cs="Manrope" w:eastAsia="Manrope" w:hAnsi="Manrope"/>
                <w:b/>
                <w:bCs/>
                <w:color w:val="315BFF"/>
                <w:sz w:val="120"/>
                <w:szCs w:val="120"/>
              </w:rPr>
              <w:t xml:space="preserve">03</w:t>
            </w:r>
          </w:p>
        </w:tc>
        <w:tc>
          <w:tcPr>
            <w:tcW w:type="dxa" w:w="360"/>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line="20" w:lineRule="exact"/>
            </w:pPr>
            <w:r>
              <w:rPr>
                <w:sz w:val="2"/>
                <w:szCs w:val="2"/>
              </w:rPr>
              <w:t xml:space="preserve"/>
            </w:r>
          </w:p>
        </w:tc>
      </w:tr>
      <w:tr>
        <w:trPr>
          <w:trHeight w:val="260" w:hRule="exact"/>
          <w:cantSplit/>
        </w:trPr>
        <w:tc>
          <w:tcPr>
            <w:tcW w:type="dxa" w:w="360"/>
            <w:tcBorders>
              <w:top w:val="none" w:color="FFFFFF" w:sz="0"/>
              <w:left w:val="single" w:color="315BFF" w:sz="20"/>
              <w:bottom w:val="single" w:color="315BFF" w:sz="20"/>
              <w:right w:val="none" w:color="FFFFFF" w:sz="0"/>
            </w:tcBorders>
            <w:tcMar>
              <w:top w:type="dxa" w:w="0"/>
              <w:left w:type="dxa" w:w="0"/>
              <w:bottom w:type="dxa" w:w="0"/>
              <w:right w:type="dxa" w:w="0"/>
            </w:tcMar>
          </w:tcPr>
          <w:p>
            <w:pPr>
              <w:spacing w:after="0" w:line="20" w:lineRule="exact"/>
            </w:pPr>
            <w:r>
              <w:rPr>
                <w:sz w:val="2"/>
                <w:szCs w:val="2"/>
              </w:rPr>
              <w:t xml:space="preserve"/>
            </w:r>
          </w:p>
        </w:tc>
        <w:tc>
          <w:tcPr>
            <w:tcW w:type="dxa" w:w="1880"/>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line="20" w:lineRule="exact"/>
            </w:pPr>
            <w:r>
              <w:rPr>
                <w:sz w:val="2"/>
                <w:szCs w:val="2"/>
              </w:rPr>
              <w:t xml:space="preserve"/>
            </w:r>
          </w:p>
        </w:tc>
        <w:tc>
          <w:tcPr>
            <w:tcW w:type="dxa" w:w="360"/>
            <w:tcBorders>
              <w:top w:val="none" w:color="FFFFFF" w:sz="0"/>
              <w:left w:val="none" w:color="FFFFFF" w:sz="0"/>
              <w:bottom w:val="single" w:color="315BFF" w:sz="20"/>
              <w:right w:val="single" w:color="315BFF" w:sz="20"/>
            </w:tcBorders>
            <w:tcMar>
              <w:top w:type="dxa" w:w="0"/>
              <w:left w:type="dxa" w:w="0"/>
              <w:bottom w:type="dxa" w:w="0"/>
              <w:right w:type="dxa" w:w="0"/>
            </w:tcMar>
          </w:tcPr>
          <w:p>
            <w:pPr>
              <w:spacing w:after="0" w:line="20" w:lineRule="exact"/>
            </w:pPr>
            <w:r>
              <w:rPr>
                <w:sz w:val="2"/>
                <w:szCs w:val="2"/>
              </w:rPr>
              <w:t xml:space="preserve"/>
            </w:r>
          </w:p>
        </w:tc>
      </w:tr>
    </w:tbl>
    <w:p>
      <w:pPr>
        <w:pStyle w:val="Heading1"/>
        <w:keepNext/>
        <w:keepLines/>
        <w:widowControl/>
        <w:spacing w:after="200" w:before="360"/>
      </w:pPr>
      <w:r>
        <w:rPr>
          <w:rFonts w:ascii="Manrope" w:hAnsi="Manrope" w:eastAsia="Manrope" w:cs="Manrope"/>
          <w:color w:val="101828"/>
        </w:rPr>
        <w:t xml:space="preserve">Website and Content</w:t>
      </w:r>
    </w:p>
    <w:p>
      <w:pPr>
        <w:pBdr>
          <w:bottom w:val="single" w:color="3FAF8F" w:sz="18" w:space="1"/>
        </w:pBdr>
        <w:spacing w:after="300"/>
        <w:ind w:right="7200"/>
      </w:pPr>
    </w:p>
    <w:p>
      <w:pPr>
        <w:spacing w:after="400" w:line="380"/>
      </w:pPr>
      <w:r>
        <w:rPr>
          <w:rFonts w:ascii="Source Serif 4" w:cs="Source Serif 4" w:eastAsia="Source Serif 4" w:hAnsi="Source Serif 4"/>
          <w:i/>
          <w:iCs/>
          <w:color w:val="101828"/>
          <w:sz w:val="30"/>
          <w:szCs w:val="30"/>
        </w:rPr>
        <w:t>A website and content system that creates three clear commercial paths while reinforcing one master promise.</w:t>
      </w:r>
    </w:p>
    <w:p>
      <w:pPr>
        <w:keepNext/>
        <w:spacing w:after="40" w:before="360"/>
      </w:pPr>
      <w:r>
        <w:rPr>
          <w:rFonts w:ascii="Inter" w:hAnsi="Inter" w:eastAsia="Inter" w:cs="Inter"/>
          <w:b/>
          <w:bCs/>
          <w:color w:val="315BFF"/>
          <w:spacing w:val="20"/>
          <w:sz w:val="16"/>
          <w:szCs w:val="16"/>
        </w:rPr>
        <w:t xml:space="preserve">3.1 DIGITAL EXPERIENCE</w:t>
      </w:r>
    </w:p>
    <w:p>
      <w:pPr>
        <w:pStyle w:val="Heading2"/>
        <w:keepNext/>
        <w:keepLines/>
        <w:widowControl/>
        <w:spacing w:before="0"/>
      </w:pPr>
      <w:r>
        <w:rPr>
          <w:rFonts w:ascii="Manrope" w:hAnsi="Manrope" w:eastAsia="Manrope" w:cs="Manrope"/>
          <w:color w:val="101828"/>
        </w:rPr>
        <w:t xml:space="preserve">The website should route, reassure and qualify</w:t>
      </w:r>
    </w:p>
    <w:p>
      <w:pPr>
        <w:spacing w:after="140"/>
      </w:pPr>
      <w:r>
        <w:rPr>
          <w:rFonts w:ascii="Inter" w:hAnsi="Inter" w:eastAsia="Inter" w:cs="Inter"/>
          <w:color w:val="101828"/>
        </w:rPr>
        <w:t xml:space="preserve">The site must support the agency beachhead without making ADelier look like an invisible production vendor. It explains one master capability, then gives agencies, brands and training buyers a direct path to the proposition and proof that matter to them.</w:t>
      </w:r>
    </w:p>
    <w:tbl>
      <w:tblPr>
        <w:tblW w:type="dxa" w:w="9360"/>
        <w:tblBorders>
          <w:top w:val="nil" w:color="D9DEE8" w:sz="4"/>
          <w:left w:val="none" w:color="FFFFFF" w:sz="0"/>
          <w:bottom w:val="single" w:color="D9DEE8" w:sz="5" w:space="0"/>
          <w:right w:val="none" w:color="FFFFFF" w:sz="0"/>
          <w:insideH w:val="single" w:color="D9DEE8" w:sz="5" w:space="0"/>
          <w:insideV w:val="nil" w:color="FFFFFF" w:sz="0"/>
          <w:start w:val="nil"/>
          <w:end w:val="nil"/>
        </w:tblBorders>
        <w:tblLayout w:type="fixed"/>
      </w:tblPr>
      <w:tblGrid>
        <w:gridCol w:w="1872"/>
        <w:gridCol w:w="7488"/>
      </w:tblGrid>
      <w:tr>
        <w:trPr>
          <w:cantSplit/>
          <w:tblHeader w:val="true"/>
        </w:trPr>
        <w:tc>
          <w:tcPr>
            <w:tcW w:type="dxa" w:w="1872"/>
            <w:shd w:fill="101828" w:color="auto" w:val="clear"/>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FFFFFF"/>
                <w:sz w:val="18"/>
                <w:szCs w:val="18"/>
              </w:rPr>
              <w:t xml:space="preserve">Navigation item</w:t>
            </w:r>
          </w:p>
        </w:tc>
        <w:tc>
          <w:tcPr>
            <w:tcW w:type="dxa" w:w="7488"/>
            <w:shd w:fill="101828" w:color="auto" w:val="clear"/>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FFFFFF"/>
                <w:sz w:val="18"/>
                <w:szCs w:val="18"/>
              </w:rPr>
              <w:t xml:space="preserve">Content</w:t>
            </w:r>
          </w:p>
        </w:tc>
      </w:tr>
      <w:tr>
        <w:trPr>
          <w:cantSplit/>
          <w:tblHeader w:val="true"/>
        </w:trPr>
        <w:tc>
          <w:tcPr>
            <w:tcW w:type="dxa" w:w="1872"/>
            <w:shd w:fill="101828" w:color="auto" w:val="clear"/>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FFFFFF"/>
                <w:sz w:val="18"/>
                <w:szCs w:val="18"/>
              </w:rPr>
              <w:t>Home</w:t>
            </w:r>
          </w:p>
        </w:tc>
        <w:tc>
          <w:tcPr>
            <w:tcW w:type="dxa" w:w="7488"/>
            <w:shd w:fill="101828" w:color="auto" w:val="clear"/>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FFFFFF"/>
                <w:sz w:val="18"/>
                <w:szCs w:val="18"/>
              </w:rPr>
              <w:t>Short overview of Marketplace Delivery, Training and Team Enablement, three audience routes and a specific next step</w:t>
            </w:r>
          </w:p>
        </w:tc>
      </w:tr>
      <w:tr>
        <w:trPr>
          <w:cantSplit/>
          <w:tblHeader w:val="false"/>
        </w:trPr>
        <w:tc>
          <w:tcPr>
            <w:tcW w:type="dxa" w:w="1872"/>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101828"/>
                <w:sz w:val="18"/>
                <w:szCs w:val="18"/>
              </w:rPr>
              <w:t xml:space="preserve">For Agencies</w:t>
            </w:r>
          </w:p>
        </w:tc>
        <w:tc>
          <w:tcPr>
            <w:tcW w:type="dxa" w:w="7488"/>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White-label, co-delivery, enablement, account protection and operating standards</w:t>
            </w:r>
          </w:p>
        </w:tc>
      </w:tr>
      <w:tr>
        <w:trPr>
          <w:cantSplit/>
          <w:tblHeader w:val="false"/>
        </w:trPr>
        <w:tc>
          <w:tcPr>
            <w:tcW w:type="dxa" w:w="1872"/>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101828"/>
                <w:sz w:val="18"/>
                <w:szCs w:val="18"/>
              </w:rPr>
              <w:t xml:space="preserve">For Brands</w:t>
            </w:r>
          </w:p>
        </w:tc>
        <w:tc>
          <w:tcPr>
            <w:tcW w:type="dxa" w:w="7488"/>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Positioning, conversion, managed growth and team capability</w:t>
            </w:r>
          </w:p>
        </w:tc>
      </w:tr>
      <w:tr>
        <w:trPr>
          <w:cantSplit/>
          <w:tblHeader w:val="false"/>
        </w:trPr>
        <w:tc>
          <w:tcPr>
            <w:tcW w:type="dxa" w:w="1872"/>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101828"/>
                <w:sz w:val="18"/>
                <w:szCs w:val="18"/>
              </w:rPr>
              <w:t xml:space="preserve">Training</w:t>
            </w:r>
          </w:p>
        </w:tc>
        <w:tc>
          <w:tcPr>
            <w:tcW w:type="dxa" w:w="7488"/>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Programs, formats, applied outcomes and team pathways</w:t>
            </w:r>
          </w:p>
        </w:tc>
      </w:tr>
      <w:tr>
        <w:trPr>
          <w:cantSplit/>
          <w:tblHeader w:val="false"/>
        </w:trPr>
        <w:tc>
          <w:tcPr>
            <w:tcW w:type="dxa" w:w="1872"/>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101828"/>
                <w:sz w:val="18"/>
                <w:szCs w:val="18"/>
              </w:rPr>
              <w:t xml:space="preserve">Services</w:t>
            </w:r>
          </w:p>
        </w:tc>
        <w:tc>
          <w:tcPr>
            <w:tcW w:type="dxa" w:w="7488"/>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The Choice System: Diagnose, Position, Build, Validate, Enable, Scale</w:t>
            </w:r>
          </w:p>
        </w:tc>
      </w:tr>
      <w:tr>
        <w:trPr>
          <w:cantSplit/>
          <w:tblHeader w:val="false"/>
        </w:trPr>
        <w:tc>
          <w:tcPr>
            <w:tcW w:type="dxa" w:w="1872"/>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101828"/>
                <w:sz w:val="18"/>
                <w:szCs w:val="18"/>
              </w:rPr>
              <w:t xml:space="preserve">About</w:t>
            </w:r>
          </w:p>
        </w:tc>
        <w:tc>
          <w:tcPr>
            <w:tcW w:type="dxa" w:w="7488"/>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Brand belief, approved logo, international operating model, expert accountability and personality; no placeholder team section</w:t>
            </w:r>
          </w:p>
        </w:tc>
      </w:tr>
      <w:tr>
        <w:trPr>
          <w:cantSplit/>
          <w:tblHeader w:val="false"/>
        </w:trPr>
        <w:tc>
          <w:tcPr>
            <w:tcW w:type="dxa" w:w="1872"/>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101828"/>
                <w:sz w:val="18"/>
                <w:szCs w:val="18"/>
              </w:rPr>
              <w:t xml:space="preserve">Contact</w:t>
            </w:r>
          </w:p>
        </w:tc>
        <w:tc>
          <w:tcPr>
            <w:tcW w:type="dxa" w:w="7488"/>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Diagnostic, partnership or training inquiry with clear routing</w:t>
            </w:r>
          </w:p>
        </w:tc>
      </w:tr>
    </w:tbl>
    <w:p>
      <w:pPr>
        <w:spacing w:after="160" w:before="0"/>
      </w:pPr>
    </w:p>
    <w:p>
      <w:pPr>
        <w:pStyle w:val="Heading3"/>
        <w:keepNext/>
        <w:keepLines/>
        <w:widowControl/>
      </w:pPr>
      <w:r>
        <w:rPr>
          <w:rFonts w:ascii="Inter" w:hAnsi="Inter" w:eastAsia="Inter" w:cs="Inter"/>
          <w:color w:val="315BFF"/>
        </w:rPr>
        <w:t xml:space="preserve">Primary digital goals</w:t>
      </w:r>
    </w:p>
    <w:p>
      <w:pPr>
        <w:pStyle w:val="ListParagraph"/>
        <w:numPr>
          <w:ilvl w:val="0"/>
          <w:numId w:val="2"/>
        </w:numPr>
        <w:spacing w:after="60"/>
      </w:pPr>
      <w:r>
        <w:rPr>
          <w:rFonts w:ascii="Inter" w:hAnsi="Inter" w:eastAsia="Inter" w:cs="Inter"/>
          <w:color w:val="101828"/>
        </w:rPr>
        <w:t xml:space="preserve">Help a qualified visitor identify the right audience path within ten seconds.</w:t>
      </w:r>
    </w:p>
    <w:p>
      <w:pPr>
        <w:pStyle w:val="ListParagraph"/>
        <w:numPr>
          <w:ilvl w:val="0"/>
          <w:numId w:val="2"/>
        </w:numPr>
        <w:spacing w:after="60"/>
      </w:pPr>
      <w:r>
        <w:rPr>
          <w:rFonts w:ascii="Inter" w:hAnsi="Inter" w:eastAsia="Inter" w:cs="Inter"/>
          <w:color w:val="101828"/>
        </w:rPr>
        <w:t xml:space="preserve">Demonstrate that ADelier thinks commercially, not only produces assets.</w:t>
      </w:r>
    </w:p>
    <w:p>
      <w:pPr>
        <w:pStyle w:val="ListParagraph"/>
        <w:numPr>
          <w:ilvl w:val="0"/>
          <w:numId w:val="2"/>
        </w:numPr>
        <w:spacing w:after="60"/>
      </w:pPr>
      <w:r>
        <w:rPr>
          <w:rFonts w:ascii="Inter" w:hAnsi="Inter" w:eastAsia="Inter" w:cs="Inter"/>
          <w:color w:val="101828"/>
        </w:rPr>
        <w:t xml:space="preserve">Make training visible as an equal founding service.</w:t>
      </w:r>
    </w:p>
    <w:p>
      <w:pPr>
        <w:pStyle w:val="ListParagraph"/>
        <w:numPr>
          <w:ilvl w:val="0"/>
          <w:numId w:val="2"/>
        </w:numPr>
        <w:spacing w:after="60"/>
      </w:pPr>
      <w:r>
        <w:rPr>
          <w:rFonts w:ascii="Inter" w:hAnsi="Inter" w:eastAsia="Inter" w:cs="Inter"/>
          <w:color w:val="101828"/>
        </w:rPr>
        <w:t xml:space="preserve">Reduce perceived risk around quality, geography, AI and agency account protection.</w:t>
      </w:r>
    </w:p>
    <w:p>
      <w:pPr>
        <w:pStyle w:val="ListParagraph"/>
        <w:numPr>
          <w:ilvl w:val="0"/>
          <w:numId w:val="2"/>
        </w:numPr>
        <w:spacing w:after="60"/>
      </w:pPr>
      <w:r>
        <w:rPr>
          <w:rFonts w:ascii="Inter" w:hAnsi="Inter" w:eastAsia="Inter" w:cs="Inter"/>
          <w:color w:val="101828"/>
        </w:rPr>
        <w:t xml:space="preserve">Convert interest into a specific next step rather than a generic contact request.</w:t>
      </w:r>
    </w:p>
    <w:p>
      <w:pPr>
        <w:spacing w:after="80" w:before="0"/>
      </w:pPr>
    </w:p>
    <w:p>
      <w:pPr>
        <w:pStyle w:val="Heading3"/>
        <w:keepNext/>
        <w:keepLines/>
        <w:widowControl/>
      </w:pPr>
      <w:r>
        <w:rPr>
          <w:rFonts w:ascii="Inter" w:hAnsi="Inter" w:eastAsia="Inter" w:cs="Inter"/>
          <w:color w:val="315BFF"/>
        </w:rPr>
        <w:t>Multilingual parity</w:t>
      </w:r>
    </w:p>
    <w:p>
      <w:pPr>
        <w:spacing w:after="140"/>
      </w:pPr>
      <w:r>
        <w:rPr>
          <w:rFonts w:ascii="Inter" w:hAnsi="Inter" w:eastAsia="Inter" w:cs="Inter"/>
          <w:color w:val="101828"/>
        </w:rPr>
        <w:t>English, Polish and German use the same components, section order, products, color treatments, typography hierarchy and responsive behavior. Only the approved copy changes. Longer translations wrap or expand; they do not trigger smaller type, hidden content or different page structures.</w:t>
      </w:r>
    </w:p>
    <w:p>
      <w:pPr>
        <w:pStyle w:val="ListParagraph"/>
        <w:numPr>
          <w:ilvl w:val="0"/>
          <w:numId w:val="2"/>
        </w:numPr>
        <w:spacing w:after="60"/>
      </w:pPr>
      <w:r>
        <w:rPr>
          <w:rFonts w:ascii="Inter" w:hAnsi="Inter" w:eastAsia="Inter" w:cs="Inter"/>
          <w:color w:val="101828"/>
        </w:rPr>
        <w:t>Keep Home visible in desktop and mobile navigation, followed by For Agencies, For Brands, Training, Services, About and Contact.</w:t>
      </w:r>
    </w:p>
    <w:p>
      <w:pPr>
        <w:pStyle w:val="ListParagraph"/>
        <w:numPr>
          <w:ilvl w:val="0"/>
          <w:numId w:val="2"/>
        </w:numPr>
        <w:spacing w:after="60"/>
      </w:pPr>
      <w:r>
        <w:rPr>
          <w:rFonts w:ascii="Inter" w:hAnsi="Inter" w:eastAsia="Inter" w:cs="Inter"/>
          <w:color w:val="101828"/>
        </w:rPr>
        <w:t>The language switcher keeps the reader on the equivalent page and never changes the information architecture.</w:t>
      </w:r>
    </w:p>
    <w:p>
      <w:pPr>
        <w:pStyle w:val="ListParagraph"/>
        <w:numPr>
          <w:ilvl w:val="0"/>
          <w:numId w:val="2"/>
        </w:numPr>
        <w:spacing w:after="60"/>
      </w:pPr>
      <w:r>
        <w:rPr>
          <w:rFonts w:ascii="Inter" w:hAnsi="Inter" w:eastAsia="Inter" w:cs="Inter"/>
          <w:color w:val="101828"/>
        </w:rPr>
        <w:t>SEO titles, descriptions, labels, forms and validation messages are localized in all three languages.</w:t>
      </w:r>
    </w:p>
    <w:p>
      <w:pPr>
        <w:pStyle w:val="Heading3"/>
        <w:keepNext/>
        <w:keepLines/>
        <w:widowControl/>
      </w:pPr>
      <w:r>
        <w:rPr>
          <w:rFonts w:ascii="Inter" w:hAnsi="Inter" w:eastAsia="Inter" w:cs="Inter"/>
          <w:color w:val="315BFF"/>
        </w:rPr>
        <w:t xml:space="preserve">Conversion actions</w:t>
      </w:r>
    </w:p>
    <w:p>
      <w:pPr>
        <w:spacing w:after="140"/>
      </w:pPr>
      <w:r>
        <w:rPr>
          <w:rFonts w:ascii="Inter" w:hAnsi="Inter" w:eastAsia="Inter" w:cs="Inter"/>
          <w:color w:val="101828"/>
        </w:rPr>
        <w:t xml:space="preserve">Use one primary action per page and one lower-commitment alternative.</w:t>
      </w:r>
    </w:p>
    <w:tbl>
      <w:tblPr>
        <w:tblW w:type="dxa" w:w="9360"/>
        <w:tblBorders>
          <w:top w:val="nil" w:color="D9DEE8" w:sz="4"/>
          <w:left w:val="none" w:color="FFFFFF" w:sz="0"/>
          <w:bottom w:val="single" w:color="D9DEE8" w:sz="5" w:space="0"/>
          <w:right w:val="none" w:color="FFFFFF" w:sz="0"/>
          <w:insideH w:val="single" w:color="D9DEE8" w:sz="5" w:space="0"/>
          <w:insideV w:val="nil" w:color="FFFFFF" w:sz="0"/>
          <w:start w:val="nil"/>
          <w:end w:val="nil"/>
        </w:tblBorders>
        <w:tblLayout w:type="fixed"/>
      </w:tblPr>
      <w:tblGrid>
        <w:gridCol w:w="1872"/>
        <w:gridCol w:w="3931"/>
        <w:gridCol w:w="3557"/>
      </w:tblGrid>
      <w:tr>
        <w:trPr>
          <w:cantSplit/>
          <w:tblHeader w:val="true"/>
        </w:trPr>
        <w:tc>
          <w:tcPr>
            <w:tcW w:type="dxa" w:w="1872"/>
            <w:shd w:fill="101828" w:color="auto" w:val="clear"/>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FFFFFF"/>
                <w:sz w:val="18"/>
                <w:szCs w:val="18"/>
              </w:rPr>
              <w:t xml:space="preserve">Page</w:t>
            </w:r>
          </w:p>
        </w:tc>
        <w:tc>
          <w:tcPr>
            <w:tcW w:type="dxa" w:w="3931"/>
            <w:shd w:fill="101828" w:color="auto" w:val="clear"/>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FFFFFF"/>
                <w:sz w:val="18"/>
                <w:szCs w:val="18"/>
              </w:rPr>
              <w:t xml:space="preserve">Primary action</w:t>
            </w:r>
          </w:p>
        </w:tc>
        <w:tc>
          <w:tcPr>
            <w:tcW w:type="dxa" w:w="3557"/>
            <w:shd w:fill="101828" w:color="auto" w:val="clear"/>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FFFFFF"/>
                <w:sz w:val="18"/>
                <w:szCs w:val="18"/>
              </w:rPr>
              <w:t xml:space="preserve">Alternative</w:t>
            </w:r>
          </w:p>
        </w:tc>
      </w:tr>
      <w:tr>
        <w:trPr>
          <w:cantSplit/>
          <w:tblHeader w:val="false"/>
        </w:trPr>
        <w:tc>
          <w:tcPr>
            <w:tcW w:type="dxa" w:w="1872"/>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101828"/>
                <w:sz w:val="18"/>
                <w:szCs w:val="18"/>
              </w:rPr>
              <w:t>Home</w:t>
            </w:r>
          </w:p>
        </w:tc>
        <w:tc>
          <w:tcPr>
            <w:tcW w:type="dxa" w:w="3931"/>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Explore agency partnerships</w:t>
            </w:r>
          </w:p>
        </w:tc>
        <w:tc>
          <w:tcPr>
            <w:tcW w:type="dxa" w:w="3557"/>
            <w:tcMar>
              <w:top w:type="dxa" w:w="80"/>
              <w:left w:type="dxa" w:w="120"/>
              <w:bottom w:type="dxa" w:w="80"/>
              <w:right w:type="dxa" w:w="120"/>
              <w:start w:w="100" w:type="dxa"/>
              <w:end w:w="100" w:type="dxa"/>
            </w:tcMar>
            <w:vAlign w:val="center"/>
          </w:tcPr>
          <w:p>
            <w:r>
              <w:t>Explore brand services; Explore training</w:t>
            </w:r>
          </w:p>
        </w:tc>
      </w:tr>
      <w:tr>
        <w:trPr>
          <w:cantSplit/>
          <w:tblHeader w:val="false"/>
        </w:trPr>
        <w:tc>
          <w:tcPr>
            <w:tcW w:type="dxa" w:w="1872"/>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101828"/>
                <w:sz w:val="18"/>
                <w:szCs w:val="18"/>
              </w:rPr>
              <w:t xml:space="preserve">For Agencies</w:t>
            </w:r>
          </w:p>
        </w:tc>
        <w:tc>
          <w:tcPr>
            <w:tcW w:type="dxa" w:w="3931"/>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Discuss a partner model</w:t>
            </w:r>
          </w:p>
        </w:tc>
        <w:tc>
          <w:tcPr>
            <w:tcW w:type="dxa" w:w="3557"/>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See white-label standards</w:t>
            </w:r>
          </w:p>
        </w:tc>
      </w:tr>
      <w:tr>
        <w:trPr>
          <w:cantSplit/>
          <w:tblHeader w:val="false"/>
        </w:trPr>
        <w:tc>
          <w:tcPr>
            <w:tcW w:type="dxa" w:w="1872"/>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101828"/>
                <w:sz w:val="18"/>
                <w:szCs w:val="18"/>
              </w:rPr>
              <w:t xml:space="preserve">For Brands</w:t>
            </w:r>
          </w:p>
        </w:tc>
        <w:tc>
          <w:tcPr>
            <w:tcW w:type="dxa" w:w="3931"/>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Get an ASIN diagnosis</w:t>
            </w:r>
          </w:p>
        </w:tc>
        <w:tc>
          <w:tcPr>
            <w:tcW w:type="dxa" w:w="3557"/>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See a listing rebuild</w:t>
            </w:r>
          </w:p>
        </w:tc>
      </w:tr>
      <w:tr>
        <w:trPr>
          <w:cantSplit/>
          <w:tblHeader w:val="false"/>
        </w:trPr>
        <w:tc>
          <w:tcPr>
            <w:tcW w:type="dxa" w:w="1872"/>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101828"/>
                <w:sz w:val="18"/>
                <w:szCs w:val="18"/>
              </w:rPr>
              <w:t xml:space="preserve">Training</w:t>
            </w:r>
          </w:p>
        </w:tc>
        <w:tc>
          <w:tcPr>
            <w:tcW w:type="dxa" w:w="3931"/>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Plan a team program</w:t>
            </w:r>
          </w:p>
        </w:tc>
        <w:tc>
          <w:tcPr>
            <w:tcW w:type="dxa" w:w="3557"/>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Download a program outline</w:t>
            </w:r>
          </w:p>
        </w:tc>
      </w:tr>
      <w:tr>
        <w:trPr>
          <w:cantSplit/>
          <w:tblHeader w:val="false"/>
        </w:trPr>
        <w:tc>
          <w:tcPr>
            <w:tcW w:type="dxa" w:w="1872"/>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101828"/>
                <w:sz w:val="18"/>
                <w:szCs w:val="18"/>
              </w:rPr>
              <w:t xml:space="preserve">Services</w:t>
            </w:r>
          </w:p>
        </w:tc>
        <w:tc>
          <w:tcPr>
            <w:tcW w:type="dxa" w:w="3931"/>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Request a scope</w:t>
            </w:r>
          </w:p>
        </w:tc>
        <w:tc>
          <w:tcPr>
            <w:tcW w:type="dxa" w:w="3557"/>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Review the Choice System</w:t>
            </w:r>
          </w:p>
        </w:tc>
      </w:tr>
    </w:tbl>
    <w:p>
      <w:pPr>
        <w:spacing w:after="160" w:before="0"/>
      </w:pPr>
    </w:p>
    <w:p>
      <w:pPr>
        <w:keepNext/>
        <w:spacing w:after="40" w:before="360"/>
      </w:pPr>
      <w:r>
        <w:rPr>
          <w:rFonts w:ascii="Inter" w:hAnsi="Inter" w:eastAsia="Inter" w:cs="Inter"/>
          <w:b/>
          <w:bCs/>
          <w:color w:val="315BFF"/>
          <w:spacing w:val="20"/>
          <w:sz w:val="16"/>
          <w:szCs w:val="16"/>
        </w:rPr>
        <w:t xml:space="preserve">3.2 HOMEPAGE</w:t>
      </w:r>
    </w:p>
    <w:p>
      <w:pPr>
        <w:pStyle w:val="Heading2"/>
        <w:keepNext/>
        <w:keepLines/>
        <w:widowControl/>
        <w:spacing w:before="0"/>
      </w:pPr>
      <w:r>
        <w:rPr>
          <w:rFonts w:ascii="Manrope" w:hAnsi="Manrope" w:eastAsia="Manrope" w:cs="Manrope"/>
          <w:color w:val="101828"/>
        </w:rPr>
        <w:t xml:space="preserve">Lead with the shared marketplace outcome</w:t>
      </w:r>
    </w:p>
    <w:p>
      <w:pPr>
        <w:pStyle w:val="Heading3"/>
        <w:keepNext/>
        <w:keepLines/>
        <w:widowControl/>
      </w:pPr>
      <w:r>
        <w:rPr>
          <w:rFonts w:ascii="Inter" w:hAnsi="Inter" w:eastAsia="Inter" w:cs="Inter"/>
          <w:color w:val="315BFF"/>
        </w:rPr>
        <w:t xml:space="preserve">Recommended hero</w:t>
      </w:r>
    </w:p>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360"/>
      </w:tblGrid>
      <w:tr>
        <w:trPr>
          <w:cantSplit/>
          <w:tblHeader w:val="true"/>
        </w:trPr>
        <w:tc>
          <w:tcPr>
            <w:tcW w:type="dxa" w:w="9360"/>
            <w:tcBorders>
              <w:top w:val="nil" w:color="FFFFFF" w:sz="0"/>
              <w:left w:val="single" w:color="3FAF8F" w:sz="20" w:space="0"/>
              <w:bottom w:val="nil" w:color="FFFFFF" w:sz="0"/>
              <w:right w:val="none" w:color="FFFFFF" w:sz="0"/>
              <w:end w:val="nil"/>
            </w:tcBorders>
            <w:shd w:fill="101828" w:color="auto" w:val="clear"/>
            <w:tcMar>
              <w:top w:type="dxa" w:w="120"/>
              <w:left w:type="dxa" w:w="240"/>
              <w:bottom w:type="dxa" w:w="120"/>
              <w:right w:type="dxa" w:w="240"/>
              <w:start w:w="160" w:type="dxa"/>
              <w:end w:w="160" w:type="dxa"/>
            </w:tcMar>
          </w:tcPr>
          <w:p>
            <w:pPr>
              <w:spacing w:after="60"/>
            </w:pPr>
            <w:r>
              <w:rPr>
                <w:rFonts w:ascii="Inter" w:cs="Inter" w:eastAsia="Inter" w:hAnsi="Inter"/>
                <w:b/>
                <w:bCs/>
                <w:color w:val="FFFFFF"/>
                <w:sz w:val="26"/>
                <w:szCs w:val="26"/>
              </w:rPr>
              <w:t xml:space="preserve">Positioned to sell. Equipped to scale.</w:t>
            </w:r>
          </w:p>
        </w:tc>
      </w:tr>
    </w:tbl>
    <w:p>
      <w:pPr>
        <w:spacing w:after="160" w:before="0"/>
      </w:pPr>
    </w:p>
    <w:p>
      <w:pPr>
        <w:spacing w:after="140"/>
      </w:pPr>
      <w:r>
        <w:rPr>
          <w:rFonts w:ascii="Inter" w:hAnsi="Inter" w:eastAsia="Inter" w:cs="Inter"/>
          <w:color w:val="101828"/>
        </w:rPr>
        <w:t>ADelier helps marketing agencies and consumer brands improve Amazon positioning, conversion execution and team capability through expert-led marketplace delivery and standalone applied training.</w:t>
      </w:r>
    </w:p>
    <w:p>
      <w:pPr>
        <w:spacing w:after="140"/>
      </w:pPr>
      <w:r>
        <w:rPr>
          <w:rFonts w:ascii="Inter" w:hAnsi="Inter" w:eastAsia="Inter" w:cs="Inter"/>
          <w:b/>
          <w:bCs/>
          <w:color w:val="101828"/>
        </w:rPr>
        <w:t>Primary action: Explore agency partnerships. Secondary action: Explore brand services. Third action: Explore training.</w:t>
      </w:r>
    </w:p>
    <w:p>
      <w:pPr>
        <w:pStyle w:val="Heading3"/>
        <w:keepNext/>
        <w:keepLines/>
        <w:widowControl/>
      </w:pPr>
      <w:r>
        <w:rPr>
          <w:rFonts w:ascii="Inter" w:hAnsi="Inter" w:eastAsia="Inter" w:cs="Inter"/>
          <w:color w:val="315BFF"/>
        </w:rPr>
        <w:t xml:space="preserve">Alternative outcome-led hero</w:t>
      </w:r>
    </w:p>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360"/>
      </w:tblGrid>
      <w:tr>
        <w:trPr>
          <w:cantSplit/>
          <w:tblHeader w:val="true"/>
        </w:trPr>
        <w:tc>
          <w:tcPr>
            <w:tcW w:type="dxa" w:w="9360"/>
            <w:tcBorders>
              <w:top w:val="nil" w:color="FFFFFF" w:sz="0"/>
              <w:left w:val="single" w:color="3FAF8F" w:sz="20" w:space="0"/>
              <w:bottom w:val="nil" w:color="FFFFFF" w:sz="0"/>
              <w:right w:val="none" w:color="FFFFFF" w:sz="0"/>
              <w:end w:val="nil"/>
            </w:tcBorders>
            <w:shd w:fill="101828" w:color="auto" w:val="clear"/>
            <w:tcMar>
              <w:top w:type="dxa" w:w="120"/>
              <w:left w:type="dxa" w:w="240"/>
              <w:bottom w:type="dxa" w:w="120"/>
              <w:right w:type="dxa" w:w="240"/>
              <w:start w:w="160" w:type="dxa"/>
              <w:end w:w="160" w:type="dxa"/>
            </w:tcMar>
          </w:tcPr>
          <w:p>
            <w:pPr>
              <w:spacing w:after="60"/>
            </w:pPr>
            <w:r>
              <w:rPr>
                <w:rFonts w:ascii="Inter" w:cs="Inter" w:eastAsia="Inter" w:hAnsi="Inter"/>
                <w:b/>
                <w:bCs/>
                <w:color w:val="FFFFFF"/>
                <w:sz w:val="26"/>
                <w:szCs w:val="26"/>
              </w:rPr>
              <w:t xml:space="preserve">Make marketplace products easier to find, understand and choose.</w:t>
            </w:r>
          </w:p>
        </w:tc>
      </w:tr>
    </w:tbl>
    <w:p>
      <w:pPr>
        <w:spacing w:after="160" w:before="0"/>
      </w:pPr>
    </w:p>
    <w:p>
      <w:pPr>
        <w:spacing w:after="140"/>
      </w:pPr>
      <w:r>
        <w:rPr>
          <w:rFonts w:ascii="Inter" w:hAnsi="Inter" w:eastAsia="Inter" w:cs="Inter"/>
          <w:color w:val="101828"/>
        </w:rPr>
        <w:t xml:space="preserve">Strategy, execution and applied training for consumer brands and marketing agencies building stronger Amazon capability.</w:t>
      </w:r>
    </w:p>
    <w:p>
      <w:pPr>
        <w:spacing w:after="140"/>
      </w:pPr>
      <w:r>
        <w:rPr>
          <w:rFonts w:ascii="Inter" w:hAnsi="Inter" w:eastAsia="Inter" w:cs="Inter"/>
          <w:color w:val="101828"/>
        </w:rPr>
        <w:t xml:space="preserve">Use the tagline-led hero when the brand needs a more ownable expression and the outcome-led hero when early visitors need maximum category clarity. Test both rather than combining them into a crowded headline.</w:t>
      </w:r>
    </w:p>
    <w:p>
      <w:pPr>
        <w:pStyle w:val="Heading3"/>
        <w:keepNext/>
        <w:keepLines/>
        <w:widowControl/>
      </w:pPr>
      <w:r>
        <w:rPr>
          <w:rFonts w:ascii="Inter" w:hAnsi="Inter" w:eastAsia="Inter" w:cs="Inter"/>
          <w:color w:val="315BFF"/>
        </w:rPr>
        <w:t xml:space="preserve">Recommended homepage sequence</w:t>
      </w:r>
    </w:p>
    <w:p>
      <w:pPr>
        <w:pStyle w:val="ListParagraph"/>
        <w:numPr>
          <w:ilvl w:val="0"/>
          <w:numId w:val="5"/>
        </w:numPr>
        <w:spacing w:after="60"/>
      </w:pPr>
      <w:r>
        <w:rPr>
          <w:rFonts w:ascii="Inter" w:hAnsi="Inter" w:eastAsia="Inter" w:cs="Inter"/>
          <w:b/>
          <w:bCs/>
          <w:color w:val="101828"/>
        </w:rPr>
        <w:t>Three route cards in this order: For Agencies, For Consumer Brands, Training. All three use identical card construction, white or Porcelain surfaces and equal visual weight. Agencies and Consumer Brands use Cobalt icons and action links. Training uses a Sage icon and action link. Do not use green-tinted card backgrounds, shadows or glow effects.</w:t>
      </w:r>
    </w:p>
    <w:p>
      <w:pPr>
        <w:pStyle w:val="ListParagraph"/>
        <w:numPr>
          <w:ilvl w:val="0"/>
          <w:numId w:val="5"/>
        </w:numPr>
        <w:spacing w:after="60"/>
      </w:pPr>
      <w:r>
        <w:rPr>
          <w:rFonts w:ascii="Inter" w:hAnsi="Inter" w:eastAsia="Inter" w:cs="Inter"/>
          <w:b/>
          <w:bCs/>
          <w:color w:val="101828"/>
        </w:rPr>
        <w:t xml:space="preserve">Three ways to work.</w:t>
      </w:r>
      <w:r>
        <w:rPr>
          <w:rFonts w:ascii="Inter" w:hAnsi="Inter" w:eastAsia="Inter" w:cs="Inter"/>
          <w:color w:val="101828"/>
        </w:rPr>
        <w:t xml:space="preserve"> ADelier Delivers, ADelier Co-builds, ADelier Enables, each with one line of value.</w:t>
      </w:r>
    </w:p>
    <w:p>
      <w:pPr>
        <w:pStyle w:val="ListParagraph"/>
        <w:numPr>
          <w:ilvl w:val="0"/>
          <w:numId w:val="5"/>
        </w:numPr>
        <w:spacing w:after="60"/>
      </w:pPr>
      <w:r>
        <w:rPr>
          <w:rFonts w:ascii="Inter" w:hAnsi="Inter" w:eastAsia="Inter" w:cs="Inter"/>
          <w:b/>
          <w:bCs/>
          <w:color w:val="101828"/>
        </w:rPr>
        <w:t xml:space="preserve">What ADelier improves.</w:t>
      </w:r>
      <w:r>
        <w:rPr>
          <w:rFonts w:ascii="Inter" w:hAnsi="Inter" w:eastAsia="Inter" w:cs="Inter"/>
          <w:color w:val="101828"/>
        </w:rPr>
        <w:t xml:space="preserve"> Product positioning and reason to choose; listing structure and conversion content; image sequence and creative briefing; marketplace research and AI-assisted workflows; delivery capacity and quality control; team capability and operating standards.</w:t>
      </w:r>
    </w:p>
    <w:p>
      <w:pPr>
        <w:pStyle w:val="ListParagraph"/>
        <w:numPr>
          <w:ilvl w:val="0"/>
          <w:numId w:val="5"/>
        </w:numPr>
        <w:spacing w:after="60"/>
      </w:pPr>
      <w:r>
        <w:rPr>
          <w:rFonts w:ascii="Inter" w:hAnsi="Inter" w:eastAsia="Inter" w:cs="Inter"/>
          <w:b/>
          <w:bCs/>
          <w:color w:val="101828"/>
        </w:rPr>
        <w:t xml:space="preserve">Proof.</w:t>
      </w:r>
      <w:r>
        <w:rPr>
          <w:rFonts w:ascii="Inter" w:hAnsi="Inter" w:eastAsia="Inter" w:cs="Inter"/>
          <w:color w:val="101828"/>
        </w:rPr>
        <w:t xml:space="preserve"> No more than three modules: a quantified result, a before-and-after example and a testimonial naming a specific benefit. While proof is limited, show the method and a sample diagnostic honestly rather than inventing scale, clients or results.</w:t>
      </w:r>
    </w:p>
    <w:p>
      <w:pPr>
        <w:pStyle w:val="ListParagraph"/>
        <w:numPr>
          <w:ilvl w:val="0"/>
          <w:numId w:val="5"/>
        </w:numPr>
        <w:spacing w:after="60"/>
      </w:pPr>
      <w:r>
        <w:rPr>
          <w:rFonts w:ascii="Inter" w:hAnsi="Inter" w:eastAsia="Inter" w:cs="Inter"/>
          <w:b/>
          <w:bCs/>
          <w:color w:val="101828"/>
        </w:rPr>
        <w:t xml:space="preserve">Training.</w:t>
      </w:r>
      <w:r>
        <w:rPr>
          <w:rFonts w:ascii="Inter" w:hAnsi="Inter" w:eastAsia="Inter" w:cs="Inter"/>
          <w:color w:val="101828"/>
        </w:rPr>
        <w:t xml:space="preserve"> ADelier uses live products and workflows to help teams improve real work, adopt quality-controlled AI practices and repeat the method independently.</w:t>
      </w:r>
    </w:p>
    <w:p>
      <w:pPr>
        <w:pStyle w:val="ListParagraph"/>
        <w:numPr>
          <w:ilvl w:val="0"/>
          <w:numId w:val="5"/>
        </w:numPr>
        <w:spacing w:after="60"/>
      </w:pPr>
      <w:r>
        <w:rPr>
          <w:rFonts w:ascii="Inter" w:hAnsi="Inter" w:eastAsia="Inter" w:cs="Inter"/>
          <w:b/>
          <w:bCs/>
          <w:color w:val="101828"/>
        </w:rPr>
        <w:t>Operating advantage. Poland-based team. International client focus. Expert-led delivery. European operating efficiency. Explain Poland in three or four lines and link to About; never turn the homepage into a labor-cost comparison.</w:t>
      </w:r>
      <w:r>
        <w:rPr>
          <w:rFonts w:ascii="Inter" w:hAnsi="Inter" w:eastAsia="Inter" w:cs="Inter"/>
          <w:color w:val="101828"/>
        </w:rPr>
      </w:r>
    </w:p>
    <w:p>
      <w:pPr>
        <w:pStyle w:val="ListParagraph"/>
        <w:numPr>
          <w:ilvl w:val="0"/>
          <w:numId w:val="5"/>
        </w:numPr>
        <w:spacing w:after="60"/>
      </w:pPr>
      <w:r>
        <w:rPr>
          <w:rFonts w:ascii="Inter" w:hAnsi="Inter" w:eastAsia="Inter" w:cs="Inter"/>
          <w:b/>
          <w:bCs/>
          <w:color w:val="101828"/>
        </w:rPr>
        <w:t xml:space="preserve">Final action.</w:t>
      </w:r>
      <w:r>
        <w:rPr>
          <w:rFonts w:ascii="Inter" w:hAnsi="Inter" w:eastAsia="Inter" w:cs="Inter"/>
          <w:color w:val="101828"/>
        </w:rPr>
        <w:t xml:space="preserve"> Bring one underperforming ASIN or one capability gap. We will determine the most useful next step.</w:t>
      </w:r>
    </w:p>
    <w:p>
      <w:pPr>
        <w:spacing w:after="80" w:before="0"/>
      </w:pPr>
    </w:p>
    <w:p>
      <w:pPr>
        <w:keepNext/>
        <w:spacing w:after="40" w:before="360"/>
      </w:pPr>
      <w:r>
        <w:rPr>
          <w:rFonts w:ascii="Inter" w:hAnsi="Inter" w:eastAsia="Inter" w:cs="Inter"/>
          <w:b/>
          <w:bCs/>
          <w:color w:val="315BFF"/>
          <w:spacing w:val="20"/>
          <w:sz w:val="16"/>
          <w:szCs w:val="16"/>
        </w:rPr>
        <w:t xml:space="preserve">3.3 FOR AGENCIES PAGE</w:t>
      </w:r>
    </w:p>
    <w:p>
      <w:pPr>
        <w:pStyle w:val="Heading2"/>
        <w:keepNext/>
        <w:keepLines/>
        <w:widowControl/>
        <w:spacing w:before="0"/>
      </w:pPr>
      <w:r>
        <w:rPr>
          <w:rFonts w:ascii="Manrope" w:hAnsi="Manrope" w:eastAsia="Manrope" w:cs="Manrope"/>
          <w:color w:val="101828"/>
        </w:rPr>
        <w:t xml:space="preserve">Make partnership control visible</w:t>
      </w:r>
    </w:p>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360"/>
      </w:tblGrid>
      <w:tr>
        <w:trPr>
          <w:cantSplit/>
          <w:tblHeader w:val="true"/>
        </w:trPr>
        <w:tc>
          <w:tcPr>
            <w:tcW w:type="dxa" w:w="9360"/>
            <w:tcBorders>
              <w:top w:val="nil" w:color="FFFFFF" w:sz="0"/>
              <w:left w:val="single" w:color="3FAF8F" w:sz="20" w:space="0"/>
              <w:bottom w:val="nil" w:color="FFFFFF" w:sz="0"/>
              <w:right w:val="none" w:color="FFFFFF" w:sz="0"/>
              <w:end w:val="nil"/>
            </w:tcBorders>
            <w:shd w:fill="101828" w:color="auto" w:val="clear"/>
            <w:tcMar>
              <w:top w:type="dxa" w:w="120"/>
              <w:left w:type="dxa" w:w="240"/>
              <w:bottom w:type="dxa" w:w="120"/>
              <w:right w:type="dxa" w:w="240"/>
              <w:start w:w="160" w:type="dxa"/>
              <w:end w:w="160" w:type="dxa"/>
            </w:tcMar>
          </w:tcPr>
          <w:p>
            <w:pPr>
              <w:spacing w:after="60"/>
            </w:pPr>
            <w:r>
              <w:rPr>
                <w:rFonts w:ascii="Inter" w:cs="Inter" w:eastAsia="Inter" w:hAnsi="Inter"/>
                <w:b/>
                <w:bCs/>
                <w:color w:val="FFFFFF"/>
                <w:sz w:val="26"/>
                <w:szCs w:val="26"/>
              </w:rPr>
              <w:t xml:space="preserve">Expand your Amazon offer. Keep the client relationship.</w:t>
            </w:r>
          </w:p>
        </w:tc>
      </w:tr>
    </w:tbl>
    <w:p>
      <w:pPr>
        <w:spacing w:after="160" w:before="0"/>
      </w:pPr>
    </w:p>
    <w:p>
      <w:pPr>
        <w:spacing w:after="140"/>
      </w:pPr>
      <w:r>
        <w:rPr>
          <w:rFonts w:ascii="Inter" w:hAnsi="Inter" w:eastAsia="Inter" w:cs="Inter"/>
          <w:color w:val="101828"/>
        </w:rPr>
        <w:t xml:space="preserve">ADelier gives marketing agencies flexible access to marketplace strategy, listing optimization, conversion creative, AI-assisted production and team training, with defined expert review and contractual account protection. </w:t>
      </w:r>
      <w:r>
        <w:rPr>
          <w:rFonts w:ascii="Inter" w:hAnsi="Inter" w:eastAsia="Inter" w:cs="Inter"/>
          <w:b/>
          <w:bCs/>
          <w:color w:val="101828"/>
        </w:rPr>
        <w:t xml:space="preserve">Primary action:</w:t>
      </w:r>
      <w:r>
        <w:rPr>
          <w:rFonts w:ascii="Inter" w:hAnsi="Inter" w:eastAsia="Inter" w:cs="Inter"/>
          <w:color w:val="101828"/>
        </w:rPr>
        <w:t xml:space="preserve"> Discuss an agency partnership. </w:t>
      </w:r>
      <w:r>
        <w:rPr>
          <w:rFonts w:ascii="Inter" w:hAnsi="Inter" w:eastAsia="Inter" w:cs="Inter"/>
          <w:b/>
          <w:bCs/>
          <w:color w:val="101828"/>
        </w:rPr>
        <w:t xml:space="preserve">Secondary action:</w:t>
      </w:r>
      <w:r>
        <w:rPr>
          <w:rFonts w:ascii="Inter" w:hAnsi="Inter" w:eastAsia="Inter" w:cs="Inter"/>
          <w:color w:val="101828"/>
        </w:rPr>
        <w:t xml:space="preserve"> See delivery standards.</w:t>
      </w:r>
    </w:p>
    <w:p>
      <w:pPr>
        <w:pStyle w:val="Heading3"/>
        <w:keepNext/>
        <w:keepLines/>
        <w:widowControl/>
      </w:pPr>
      <w:r>
        <w:rPr>
          <w:rFonts w:ascii="Inter" w:hAnsi="Inter" w:eastAsia="Inter" w:cs="Inter"/>
          <w:color w:val="315BFF"/>
        </w:rPr>
        <w:t xml:space="preserve">Required sections</w:t>
      </w:r>
    </w:p>
    <w:p>
      <w:pPr>
        <w:pStyle w:val="ListParagraph"/>
        <w:numPr>
          <w:ilvl w:val="0"/>
          <w:numId w:val="2"/>
        </w:numPr>
        <w:spacing w:after="60"/>
      </w:pPr>
      <w:r>
        <w:rPr>
          <w:rFonts w:ascii="Inter" w:hAnsi="Inter" w:eastAsia="Inter" w:cs="Inter"/>
          <w:b/>
          <w:bCs/>
          <w:color w:val="101828"/>
        </w:rPr>
        <w:t xml:space="preserve">The agency problem.</w:t>
      </w:r>
      <w:r>
        <w:rPr>
          <w:rFonts w:ascii="Inter" w:hAnsi="Inter" w:eastAsia="Inter" w:cs="Inter"/>
          <w:color w:val="101828"/>
        </w:rPr>
        <w:t xml:space="preserve"> Client demand is increasing, but hiring a full Amazon team before demand is stable creates fixed cost and delivery risk.</w:t>
      </w:r>
    </w:p>
    <w:p>
      <w:pPr>
        <w:pStyle w:val="ListParagraph"/>
        <w:numPr>
          <w:ilvl w:val="0"/>
          <w:numId w:val="2"/>
        </w:numPr>
        <w:spacing w:after="60"/>
      </w:pPr>
      <w:r>
        <w:rPr>
          <w:rFonts w:ascii="Inter" w:hAnsi="Inter" w:eastAsia="Inter" w:cs="Inter"/>
          <w:b/>
          <w:bCs/>
          <w:color w:val="101828"/>
        </w:rPr>
        <w:t xml:space="preserve">The solution.</w:t>
      </w:r>
      <w:r>
        <w:rPr>
          <w:rFonts w:ascii="Inter" w:hAnsi="Inter" w:eastAsia="Inter" w:cs="Inter"/>
          <w:color w:val="101828"/>
        </w:rPr>
        <w:t xml:space="preserve"> White-label, co-delivery and enablement models that fit the agency's client and capability strategy.</w:t>
      </w:r>
    </w:p>
    <w:p>
      <w:pPr>
        <w:pStyle w:val="ListParagraph"/>
        <w:numPr>
          <w:ilvl w:val="0"/>
          <w:numId w:val="2"/>
        </w:numPr>
        <w:spacing w:after="60"/>
      </w:pPr>
      <w:r>
        <w:rPr>
          <w:rFonts w:ascii="Inter" w:hAnsi="Inter" w:eastAsia="Inter" w:cs="Inter"/>
          <w:b/>
          <w:bCs/>
          <w:color w:val="101828"/>
        </w:rPr>
        <w:t xml:space="preserve">What ADelier can deliver.</w:t>
      </w:r>
      <w:r>
        <w:rPr>
          <w:rFonts w:ascii="Inter" w:hAnsi="Inter" w:eastAsia="Inter" w:cs="Inter"/>
          <w:color w:val="101828"/>
        </w:rPr>
        <w:t xml:space="preserve"> Audits, positioning, listings, creative direction, A+ Content, training and quality assurance.</w:t>
      </w:r>
    </w:p>
    <w:p>
      <w:pPr>
        <w:pStyle w:val="ListParagraph"/>
        <w:numPr>
          <w:ilvl w:val="0"/>
          <w:numId w:val="2"/>
        </w:numPr>
        <w:spacing w:after="60"/>
      </w:pPr>
      <w:r>
        <w:rPr>
          <w:rFonts w:ascii="Inter" w:hAnsi="Inter" w:eastAsia="Inter" w:cs="Inter"/>
          <w:b/>
          <w:bCs/>
          <w:color w:val="101828"/>
        </w:rPr>
        <w:t xml:space="preserve">How the relationship is protected.</w:t>
      </w:r>
      <w:r>
        <w:rPr>
          <w:rFonts w:ascii="Inter" w:hAnsi="Inter" w:eastAsia="Inter" w:cs="Inter"/>
          <w:color w:val="101828"/>
        </w:rPr>
        <w:t xml:space="preserve"> Non-solicitation, non-circumvention, confidentiality, case-study approval and clear ownership.</w:t>
      </w:r>
    </w:p>
    <w:p>
      <w:pPr>
        <w:pStyle w:val="ListParagraph"/>
        <w:numPr>
          <w:ilvl w:val="0"/>
          <w:numId w:val="2"/>
        </w:numPr>
        <w:spacing w:after="60"/>
      </w:pPr>
      <w:r>
        <w:rPr>
          <w:rFonts w:ascii="Inter" w:hAnsi="Inter" w:eastAsia="Inter" w:cs="Inter"/>
          <w:b/>
          <w:bCs/>
          <w:color w:val="101828"/>
        </w:rPr>
        <w:t xml:space="preserve">How quality is managed.</w:t>
      </w:r>
      <w:r>
        <w:rPr>
          <w:rFonts w:ascii="Inter" w:hAnsi="Inter" w:eastAsia="Inter" w:cs="Inter"/>
          <w:color w:val="101828"/>
        </w:rPr>
        <w:t xml:space="preserve"> Named expert lead, brief standards, review gates, revision limits, service levels and escalation.</w:t>
      </w:r>
    </w:p>
    <w:p>
      <w:pPr>
        <w:pStyle w:val="ListParagraph"/>
        <w:numPr>
          <w:ilvl w:val="0"/>
          <w:numId w:val="2"/>
        </w:numPr>
        <w:spacing w:after="60"/>
      </w:pPr>
      <w:r>
        <w:rPr>
          <w:rFonts w:ascii="Inter" w:hAnsi="Inter" w:eastAsia="Inter" w:cs="Inter"/>
          <w:b/>
          <w:bCs/>
          <w:color w:val="101828"/>
        </w:rPr>
        <w:t xml:space="preserve">How economics work.</w:t>
      </w:r>
      <w:r>
        <w:rPr>
          <w:rFonts w:ascii="Inter" w:hAnsi="Inter" w:eastAsia="Inter" w:cs="Inter"/>
          <w:color w:val="101828"/>
        </w:rPr>
        <w:t xml:space="preserve"> Partner pricing and predictable scope, without advertising "cheap labor."</w:t>
      </w:r>
    </w:p>
    <w:p>
      <w:pPr>
        <w:pStyle w:val="ListParagraph"/>
        <w:numPr>
          <w:ilvl w:val="0"/>
          <w:numId w:val="2"/>
        </w:numPr>
        <w:spacing w:after="60"/>
      </w:pPr>
      <w:r>
        <w:rPr>
          <w:rFonts w:ascii="Inter" w:hAnsi="Inter" w:eastAsia="Inter" w:cs="Inter"/>
          <w:b/>
          <w:bCs/>
          <w:color w:val="101828"/>
        </w:rPr>
        <w:t xml:space="preserve">Ways to start.</w:t>
      </w:r>
      <w:r>
        <w:rPr>
          <w:rFonts w:ascii="Inter" w:hAnsi="Inter" w:eastAsia="Inter" w:cs="Inter"/>
          <w:color w:val="101828"/>
        </w:rPr>
        <w:t xml:space="preserve"> Paid pilot, monthly pod or team workshop.</w:t>
      </w:r>
    </w:p>
    <w:p>
      <w:pPr>
        <w:spacing w:after="80" w:before="0"/>
      </w:pPr>
    </w:p>
    <w:p>
      <w:pPr>
        <w:pStyle w:val="Heading3"/>
        <w:keepNext/>
        <w:keepLines/>
        <w:widowControl/>
      </w:pPr>
      <w:r>
        <w:rPr>
          <w:rFonts w:ascii="Inter" w:hAnsi="Inter" w:eastAsia="Inter" w:cs="Inter"/>
          <w:color w:val="315BFF"/>
        </w:rPr>
        <w:t xml:space="preserve">Suggested FAQ</w:t>
      </w:r>
    </w:p>
    <w:tbl>
      <w:tblPr>
        <w:tblW w:type="dxa" w:w="9360"/>
        <w:tblBorders>
          <w:top w:val="nil" w:color="D9DEE8" w:sz="4"/>
          <w:left w:val="none" w:color="FFFFFF" w:sz="0"/>
          <w:bottom w:val="single" w:color="D9DEE8" w:sz="5" w:space="0"/>
          <w:right w:val="none" w:color="FFFFFF" w:sz="0"/>
          <w:insideH w:val="single" w:color="D9DEE8" w:sz="5" w:space="0"/>
          <w:insideV w:val="nil" w:color="FFFFFF" w:sz="0"/>
          <w:start w:val="nil"/>
          <w:end w:val="nil"/>
        </w:tblBorders>
        <w:tblLayout w:type="fixed"/>
      </w:tblPr>
      <w:tblGrid>
        <w:gridCol w:w="3182"/>
        <w:gridCol w:w="6178"/>
      </w:tblGrid>
      <w:tr>
        <w:trPr>
          <w:cantSplit/>
          <w:tblHeader w:val="true"/>
        </w:trPr>
        <w:tc>
          <w:tcPr>
            <w:tcW w:type="dxa" w:w="3182"/>
            <w:shd w:fill="101828" w:color="auto" w:val="clear"/>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FFFFFF"/>
                <w:sz w:val="18"/>
                <w:szCs w:val="18"/>
              </w:rPr>
              <w:t xml:space="preserve">Question</w:t>
            </w:r>
          </w:p>
        </w:tc>
        <w:tc>
          <w:tcPr>
            <w:tcW w:type="dxa" w:w="6178"/>
            <w:shd w:fill="101828" w:color="auto" w:val="clear"/>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FFFFFF"/>
                <w:sz w:val="18"/>
                <w:szCs w:val="18"/>
              </w:rPr>
              <w:t xml:space="preserve">Answer direction</w:t>
            </w:r>
          </w:p>
        </w:tc>
      </w:tr>
      <w:tr>
        <w:trPr>
          <w:cantSplit/>
          <w:tblHeader w:val="false"/>
        </w:trPr>
        <w:tc>
          <w:tcPr>
            <w:tcW w:type="dxa" w:w="3182"/>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101828"/>
                <w:sz w:val="18"/>
                <w:szCs w:val="18"/>
              </w:rPr>
              <w:t xml:space="preserve">Can you join client calls?</w:t>
            </w:r>
          </w:p>
        </w:tc>
        <w:tc>
          <w:tcPr>
            <w:tcW w:type="dxa" w:w="6178"/>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Yes, under an agreed white-label or co-delivery role with clear communication ownership.</w:t>
            </w:r>
          </w:p>
        </w:tc>
      </w:tr>
      <w:tr>
        <w:trPr>
          <w:cantSplit/>
          <w:tblHeader w:val="false"/>
        </w:trPr>
        <w:tc>
          <w:tcPr>
            <w:tcW w:type="dxa" w:w="3182"/>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101828"/>
                <w:sz w:val="18"/>
                <w:szCs w:val="18"/>
              </w:rPr>
              <w:t xml:space="preserve">Can we mark up your work?</w:t>
            </w:r>
          </w:p>
        </w:tc>
        <w:tc>
          <w:tcPr>
            <w:tcW w:type="dxa" w:w="6178"/>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Yes. Partner pricing is designed to support the agency's commercial model, subject to scope and volume.</w:t>
            </w:r>
          </w:p>
        </w:tc>
      </w:tr>
      <w:tr>
        <w:trPr>
          <w:cantSplit/>
          <w:tblHeader w:val="false"/>
        </w:trPr>
        <w:tc>
          <w:tcPr>
            <w:tcW w:type="dxa" w:w="3182"/>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101828"/>
                <w:sz w:val="18"/>
                <w:szCs w:val="18"/>
              </w:rPr>
              <w:t xml:space="preserve">Will you sell directly to our clients?</w:t>
            </w:r>
          </w:p>
        </w:tc>
        <w:tc>
          <w:tcPr>
            <w:tcW w:type="dxa" w:w="6178"/>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Protected accounts are covered by agreed non-solicitation and non-circumvention terms.</w:t>
            </w:r>
          </w:p>
        </w:tc>
      </w:tr>
      <w:tr>
        <w:trPr>
          <w:cantSplit/>
          <w:tblHeader w:val="false"/>
        </w:trPr>
        <w:tc>
          <w:tcPr>
            <w:tcW w:type="dxa" w:w="3182"/>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101828"/>
                <w:sz w:val="18"/>
                <w:szCs w:val="18"/>
              </w:rPr>
              <w:t xml:space="preserve">Do you only write listings?</w:t>
            </w:r>
          </w:p>
        </w:tc>
        <w:tc>
          <w:tcPr>
            <w:tcW w:type="dxa" w:w="6178"/>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No. ADelier begins with the commercial problem and can support positioning, creative direction, delivery and team enablement.</w:t>
            </w:r>
          </w:p>
        </w:tc>
      </w:tr>
      <w:tr>
        <w:trPr>
          <w:cantSplit/>
          <w:tblHeader w:val="false"/>
        </w:trPr>
        <w:tc>
          <w:tcPr>
            <w:tcW w:type="dxa" w:w="3182"/>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101828"/>
                <w:sz w:val="18"/>
                <w:szCs w:val="18"/>
              </w:rPr>
              <w:t xml:space="preserve">Can you train our team?</w:t>
            </w:r>
          </w:p>
        </w:tc>
        <w:tc>
          <w:tcPr>
            <w:tcW w:type="dxa" w:w="6178"/>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Yes. Programs use agency workflows and client examples while respecting confidentiality.</w:t>
            </w:r>
          </w:p>
        </w:tc>
      </w:tr>
      <w:tr>
        <w:trPr>
          <w:cantSplit/>
          <w:tblHeader w:val="false"/>
        </w:trPr>
        <w:tc>
          <w:tcPr>
            <w:tcW w:type="dxa" w:w="3182"/>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101828"/>
                <w:sz w:val="18"/>
                <w:szCs w:val="18"/>
              </w:rPr>
              <w:t xml:space="preserve">Can you handle overflow only?</w:t>
            </w:r>
          </w:p>
        </w:tc>
        <w:tc>
          <w:tcPr>
            <w:tcW w:type="dxa" w:w="6178"/>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Yes, when the brief and quality standards are clear. Recurring pods provide the most predictable service.</w:t>
            </w:r>
          </w:p>
        </w:tc>
      </w:tr>
    </w:tbl>
    <w:p>
      <w:pPr>
        <w:spacing w:after="160" w:before="0"/>
      </w:pPr>
    </w:p>
    <w:p>
      <w:pPr>
        <w:keepNext/>
        <w:spacing w:after="40" w:before="360"/>
      </w:pPr>
      <w:r>
        <w:rPr>
          <w:rFonts w:ascii="Inter" w:hAnsi="Inter" w:eastAsia="Inter" w:cs="Inter"/>
          <w:b/>
          <w:bCs/>
          <w:color w:val="315BFF"/>
          <w:spacing w:val="20"/>
          <w:sz w:val="16"/>
          <w:szCs w:val="16"/>
        </w:rPr>
        <w:t xml:space="preserve">3.4 FOR BRANDS PAGE</w:t>
      </w:r>
    </w:p>
    <w:p>
      <w:pPr>
        <w:pStyle w:val="Heading2"/>
        <w:keepNext/>
        <w:keepLines/>
        <w:widowControl/>
        <w:spacing w:before="0"/>
      </w:pPr>
      <w:r>
        <w:rPr>
          <w:rFonts w:ascii="Manrope" w:hAnsi="Manrope" w:eastAsia="Manrope" w:cs="Manrope"/>
          <w:color w:val="101828"/>
        </w:rPr>
        <w:t xml:space="preserve">Connect shopper choice to internal capability</w:t>
      </w:r>
    </w:p>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360"/>
      </w:tblGrid>
      <w:tr>
        <w:trPr>
          <w:cantSplit/>
          <w:tblHeader w:val="true"/>
        </w:trPr>
        <w:tc>
          <w:tcPr>
            <w:tcW w:type="dxa" w:w="9360"/>
            <w:tcBorders>
              <w:top w:val="nil" w:color="FFFFFF" w:sz="0"/>
              <w:left w:val="single" w:color="3FAF8F" w:sz="20" w:space="0"/>
              <w:bottom w:val="nil" w:color="FFFFFF" w:sz="0"/>
              <w:right w:val="none" w:color="FFFFFF" w:sz="0"/>
              <w:end w:val="nil"/>
            </w:tcBorders>
            <w:shd w:fill="101828" w:color="auto" w:val="clear"/>
            <w:tcMar>
              <w:top w:type="dxa" w:w="120"/>
              <w:left w:type="dxa" w:w="240"/>
              <w:bottom w:type="dxa" w:w="120"/>
              <w:right w:type="dxa" w:w="240"/>
              <w:start w:w="160" w:type="dxa"/>
              <w:end w:w="160" w:type="dxa"/>
            </w:tcMar>
          </w:tcPr>
          <w:p>
            <w:pPr>
              <w:spacing w:after="60"/>
            </w:pPr>
            <w:r>
              <w:rPr>
                <w:rFonts w:ascii="Inter" w:cs="Inter" w:eastAsia="Inter" w:hAnsi="Inter"/>
                <w:b/>
                <w:bCs/>
                <w:color w:val="FFFFFF"/>
                <w:sz w:val="26"/>
                <w:szCs w:val="26"/>
              </w:rPr>
              <w:t xml:space="preserve">Make your product the obvious choice.</w:t>
            </w:r>
          </w:p>
        </w:tc>
      </w:tr>
    </w:tbl>
    <w:p>
      <w:pPr>
        <w:spacing w:after="160" w:before="0"/>
      </w:pPr>
    </w:p>
    <w:p>
      <w:pPr>
        <w:spacing w:after="140"/>
      </w:pPr>
      <w:r>
        <w:rPr>
          <w:rFonts w:ascii="Inter" w:hAnsi="Inter" w:eastAsia="Inter" w:cs="Inter"/>
          <w:color w:val="101828"/>
        </w:rPr>
        <w:t xml:space="preserve">ADelier identifies why marketplace shoppers hesitate, sharpens the product's position, rebuilds conversion content and equips the team to keep improving it. </w:t>
      </w:r>
      <w:r>
        <w:rPr>
          <w:rFonts w:ascii="Inter" w:hAnsi="Inter" w:eastAsia="Inter" w:cs="Inter"/>
          <w:b/>
          <w:bCs/>
          <w:color w:val="101828"/>
        </w:rPr>
        <w:t xml:space="preserve">Primary action:</w:t>
      </w:r>
      <w:r>
        <w:rPr>
          <w:rFonts w:ascii="Inter" w:hAnsi="Inter" w:eastAsia="Inter" w:cs="Inter"/>
          <w:color w:val="101828"/>
        </w:rPr>
        <w:t xml:space="preserve"> Get an ASIN diagnosis. </w:t>
      </w:r>
      <w:r>
        <w:rPr>
          <w:rFonts w:ascii="Inter" w:hAnsi="Inter" w:eastAsia="Inter" w:cs="Inter"/>
          <w:b/>
          <w:bCs/>
          <w:color w:val="101828"/>
        </w:rPr>
        <w:t xml:space="preserve">Secondary action:</w:t>
      </w:r>
      <w:r>
        <w:rPr>
          <w:rFonts w:ascii="Inter" w:hAnsi="Inter" w:eastAsia="Inter" w:cs="Inter"/>
          <w:color w:val="101828"/>
        </w:rPr>
        <w:t xml:space="preserve"> See a listing rebuild.</w:t>
      </w:r>
    </w:p>
    <w:p>
      <w:pPr>
        <w:pStyle w:val="Heading3"/>
        <w:keepNext/>
        <w:keepLines/>
        <w:widowControl/>
      </w:pPr>
      <w:r>
        <w:rPr>
          <w:rFonts w:ascii="Inter" w:hAnsi="Inter" w:eastAsia="Inter" w:cs="Inter"/>
          <w:color w:val="315BFF"/>
        </w:rPr>
        <w:t xml:space="preserve">Required sections</w:t>
      </w:r>
    </w:p>
    <w:p>
      <w:pPr>
        <w:pStyle w:val="ListParagraph"/>
        <w:numPr>
          <w:ilvl w:val="0"/>
          <w:numId w:val="2"/>
        </w:numPr>
        <w:spacing w:after="60"/>
      </w:pPr>
      <w:r>
        <w:rPr>
          <w:rFonts w:ascii="Inter" w:hAnsi="Inter" w:eastAsia="Inter" w:cs="Inter"/>
          <w:b/>
          <w:bCs/>
          <w:color w:val="101828"/>
        </w:rPr>
        <w:t xml:space="preserve">Symptoms.</w:t>
      </w:r>
      <w:r>
        <w:rPr>
          <w:rFonts w:ascii="Inter" w:hAnsi="Inter" w:eastAsia="Inter" w:cs="Inter"/>
          <w:color w:val="101828"/>
        </w:rPr>
        <w:t xml:space="preserve"> Traffic without conversion, indistinct positioning, generic creative, slow content production or dependence on external vendors.</w:t>
      </w:r>
    </w:p>
    <w:p>
      <w:pPr>
        <w:pStyle w:val="ListParagraph"/>
        <w:numPr>
          <w:ilvl w:val="0"/>
          <w:numId w:val="2"/>
        </w:numPr>
        <w:spacing w:after="60"/>
      </w:pPr>
      <w:r>
        <w:rPr>
          <w:rFonts w:ascii="Inter" w:hAnsi="Inter" w:eastAsia="Inter" w:cs="Inter"/>
          <w:b/>
          <w:bCs/>
          <w:color w:val="101828"/>
        </w:rPr>
        <w:t xml:space="preserve">Diagnosis.</w:t>
      </w:r>
      <w:r>
        <w:rPr>
          <w:rFonts w:ascii="Inter" w:hAnsi="Inter" w:eastAsia="Inter" w:cs="Inter"/>
          <w:color w:val="101828"/>
        </w:rPr>
        <w:t xml:space="preserve"> Separate product, offer, traffic, content and operating issues before prescribing work.</w:t>
      </w:r>
    </w:p>
    <w:p>
      <w:pPr>
        <w:pStyle w:val="ListParagraph"/>
        <w:numPr>
          <w:ilvl w:val="0"/>
          <w:numId w:val="2"/>
        </w:numPr>
        <w:spacing w:after="60"/>
      </w:pPr>
      <w:r>
        <w:rPr>
          <w:rFonts w:ascii="Inter" w:hAnsi="Inter" w:eastAsia="Inter" w:cs="Inter"/>
          <w:b/>
          <w:bCs/>
          <w:color w:val="101828"/>
        </w:rPr>
        <w:t xml:space="preserve">Positioning.</w:t>
      </w:r>
      <w:r>
        <w:rPr>
          <w:rFonts w:ascii="Inter" w:hAnsi="Inter" w:eastAsia="Inter" w:cs="Inter"/>
          <w:color w:val="101828"/>
        </w:rPr>
        <w:t xml:space="preserve"> Establish the shopper, use case, reason to choose, proof and objection hierarchy.</w:t>
      </w:r>
    </w:p>
    <w:p>
      <w:pPr>
        <w:pStyle w:val="ListParagraph"/>
        <w:numPr>
          <w:ilvl w:val="0"/>
          <w:numId w:val="2"/>
        </w:numPr>
        <w:spacing w:after="60"/>
      </w:pPr>
      <w:r>
        <w:rPr>
          <w:rFonts w:ascii="Inter" w:hAnsi="Inter" w:eastAsia="Inter" w:cs="Inter"/>
          <w:b/>
          <w:bCs/>
          <w:color w:val="101828"/>
        </w:rPr>
        <w:t xml:space="preserve">Execution.</w:t>
      </w:r>
      <w:r>
        <w:rPr>
          <w:rFonts w:ascii="Inter" w:hAnsi="Inter" w:eastAsia="Inter" w:cs="Inter"/>
          <w:color w:val="101828"/>
        </w:rPr>
        <w:t xml:space="preserve"> Turn the position into listings, image sequence, A+ Content, briefs and tests.</w:t>
      </w:r>
    </w:p>
    <w:p>
      <w:pPr>
        <w:pStyle w:val="ListParagraph"/>
        <w:numPr>
          <w:ilvl w:val="0"/>
          <w:numId w:val="2"/>
        </w:numPr>
        <w:spacing w:after="60"/>
      </w:pPr>
      <w:r>
        <w:rPr>
          <w:rFonts w:ascii="Inter" w:hAnsi="Inter" w:eastAsia="Inter" w:cs="Inter"/>
          <w:b/>
          <w:bCs/>
          <w:color w:val="101828"/>
        </w:rPr>
        <w:t xml:space="preserve">Enablement.</w:t>
      </w:r>
      <w:r>
        <w:rPr>
          <w:rFonts w:ascii="Inter" w:hAnsi="Inter" w:eastAsia="Inter" w:cs="Inter"/>
          <w:color w:val="101828"/>
        </w:rPr>
        <w:t xml:space="preserve"> Transfer the workflow, quality standard and ownership to the internal team.</w:t>
      </w:r>
    </w:p>
    <w:p>
      <w:pPr>
        <w:pStyle w:val="ListParagraph"/>
        <w:numPr>
          <w:ilvl w:val="0"/>
          <w:numId w:val="2"/>
        </w:numPr>
        <w:spacing w:after="60"/>
      </w:pPr>
      <w:r>
        <w:rPr>
          <w:rFonts w:ascii="Inter" w:hAnsi="Inter" w:eastAsia="Inter" w:cs="Inter"/>
          <w:b/>
          <w:bCs/>
          <w:color w:val="101828"/>
        </w:rPr>
        <w:t xml:space="preserve">Proof.</w:t>
      </w:r>
      <w:r>
        <w:rPr>
          <w:rFonts w:ascii="Inter" w:hAnsi="Inter" w:eastAsia="Inter" w:cs="Inter"/>
          <w:color w:val="101828"/>
        </w:rPr>
        <w:t xml:space="preserve"> Show baseline, change, result and context.</w:t>
      </w:r>
    </w:p>
    <w:p>
      <w:pPr>
        <w:spacing w:after="80" w:before="0"/>
      </w:pPr>
    </w:p>
    <w:p>
      <w:pPr>
        <w:pStyle w:val="Heading3"/>
        <w:keepNext/>
        <w:keepLines/>
        <w:widowControl/>
      </w:pPr>
      <w:r>
        <w:rPr>
          <w:rFonts w:ascii="Inter" w:hAnsi="Inter" w:eastAsia="Inter" w:cs="Inter"/>
          <w:color w:val="315BFF"/>
        </w:rPr>
        <w:t>Product and visual rules</w:t>
      </w:r>
    </w:p>
    <w:p>
      <w:pPr>
        <w:pStyle w:val="ListParagraph"/>
        <w:numPr>
          <w:ilvl w:val="0"/>
          <w:numId w:val="2"/>
        </w:numPr>
        <w:spacing w:after="60"/>
      </w:pPr>
      <w:r>
        <w:rPr>
          <w:rFonts w:ascii="Inter" w:hAnsi="Inter" w:eastAsia="Inter" w:cs="Inter"/>
          <w:color w:val="101828"/>
        </w:rPr>
        <w:t>Show Marketplace Growth Diagnostic, Position-to-Conversion Sprint and Amazon Conversion Foundations in its brand-team edition. Do not show the White-Label Listing and Conversion Pod or Agency Marketplace Enablement on this page.</w:t>
      </w:r>
    </w:p>
    <w:p>
      <w:pPr>
        <w:pStyle w:val="ListParagraph"/>
        <w:numPr>
          <w:ilvl w:val="0"/>
          <w:numId w:val="2"/>
        </w:numPr>
        <w:spacing w:after="60"/>
      </w:pPr>
      <w:r>
        <w:rPr>
          <w:rFonts w:ascii="Inter" w:hAnsi="Inter" w:eastAsia="Inter" w:cs="Inter"/>
          <w:color w:val="101828"/>
        </w:rPr>
        <w:t>Write brand-page product descriptions only for brand, e-commerce, content and marketplace teams; do not mention agencies in brand-specific product cards.</w:t>
      </w:r>
    </w:p>
    <w:p>
      <w:pPr>
        <w:pStyle w:val="ListParagraph"/>
        <w:numPr>
          <w:ilvl w:val="0"/>
          <w:numId w:val="2"/>
        </w:numPr>
        <w:spacing w:after="60"/>
      </w:pPr>
      <w:r>
        <w:rPr>
          <w:rFonts w:ascii="Inter" w:hAnsi="Inter" w:eastAsia="Inter" w:cs="Inter"/>
          <w:color w:val="101828"/>
        </w:rPr>
        <w:t>Set diagnostic questions in Inter or Manrope, not Source Serif, and do not place a Focus Frame around any individual question.</w:t>
      </w:r>
    </w:p>
    <w:p>
      <w:pPr>
        <w:pStyle w:val="Heading3"/>
        <w:keepNext/>
        <w:keepLines/>
        <w:widowControl/>
      </w:pPr>
      <w:r>
        <w:rPr>
          <w:rFonts w:ascii="Inter" w:hAnsi="Inter" w:eastAsia="Inter" w:cs="Inter"/>
          <w:color w:val="315BFF"/>
        </w:rPr>
        <w:t xml:space="preserve">Useful diagnostic prompts</w:t>
      </w:r>
    </w:p>
    <w:p>
      <w:pPr>
        <w:pStyle w:val="ListParagraph"/>
        <w:numPr>
          <w:ilvl w:val="0"/>
          <w:numId w:val="2"/>
        </w:numPr>
        <w:spacing w:after="60"/>
      </w:pPr>
      <w:r>
        <w:rPr>
          <w:rFonts w:ascii="Inter" w:hAnsi="Inter" w:eastAsia="Inter" w:cs="Inter"/>
          <w:color w:val="101828"/>
        </w:rPr>
        <w:t xml:space="preserve">Is the right shopper finding the product?</w:t>
      </w:r>
    </w:p>
    <w:p>
      <w:pPr>
        <w:pStyle w:val="ListParagraph"/>
        <w:numPr>
          <w:ilvl w:val="0"/>
          <w:numId w:val="2"/>
        </w:numPr>
        <w:spacing w:after="60"/>
      </w:pPr>
      <w:r>
        <w:rPr>
          <w:rFonts w:ascii="Inter" w:hAnsi="Inter" w:eastAsia="Inter" w:cs="Inter"/>
          <w:color w:val="101828"/>
        </w:rPr>
        <w:t xml:space="preserve">Can the shopper understand the main reason to choose within the first screen?</w:t>
      </w:r>
    </w:p>
    <w:p>
      <w:pPr>
        <w:pStyle w:val="ListParagraph"/>
        <w:numPr>
          <w:ilvl w:val="0"/>
          <w:numId w:val="2"/>
        </w:numPr>
        <w:spacing w:after="60"/>
      </w:pPr>
      <w:r>
        <w:rPr>
          <w:rFonts w:ascii="Inter" w:hAnsi="Inter" w:eastAsia="Inter" w:cs="Inter"/>
          <w:color w:val="101828"/>
        </w:rPr>
        <w:t xml:space="preserve">Are claims supported by visible evidence?</w:t>
      </w:r>
    </w:p>
    <w:p>
      <w:pPr>
        <w:pStyle w:val="ListParagraph"/>
        <w:numPr>
          <w:ilvl w:val="0"/>
          <w:numId w:val="2"/>
        </w:numPr>
        <w:spacing w:after="60"/>
      </w:pPr>
      <w:r>
        <w:rPr>
          <w:rFonts w:ascii="Inter" w:hAnsi="Inter" w:eastAsia="Inter" w:cs="Inter"/>
          <w:color w:val="101828"/>
        </w:rPr>
        <w:t xml:space="preserve">Does the image sequence answer the most important objections in the right order?</w:t>
      </w:r>
    </w:p>
    <w:p>
      <w:pPr>
        <w:pStyle w:val="ListParagraph"/>
        <w:numPr>
          <w:ilvl w:val="0"/>
          <w:numId w:val="2"/>
        </w:numPr>
        <w:spacing w:after="60"/>
      </w:pPr>
      <w:r>
        <w:rPr>
          <w:rFonts w:ascii="Inter" w:hAnsi="Inter" w:eastAsia="Inter" w:cs="Inter"/>
          <w:color w:val="101828"/>
        </w:rPr>
        <w:t xml:space="preserve">Is the team able to update and test content at the required speed?</w:t>
      </w:r>
    </w:p>
    <w:p>
      <w:pPr>
        <w:pStyle w:val="ListParagraph"/>
        <w:numPr>
          <w:ilvl w:val="0"/>
          <w:numId w:val="2"/>
        </w:numPr>
        <w:spacing w:after="60"/>
      </w:pPr>
      <w:r>
        <w:rPr>
          <w:rFonts w:ascii="Inter" w:hAnsi="Inter" w:eastAsia="Inter" w:cs="Inter"/>
          <w:color w:val="101828"/>
        </w:rPr>
        <w:t xml:space="preserve">Are AI workflows making output faster without making quality less consistent?</w:t>
      </w:r>
    </w:p>
    <w:p>
      <w:pPr>
        <w:spacing w:after="80" w:before="0"/>
      </w:pPr>
    </w:p>
    <w:p>
      <w:pPr>
        <w:keepNext/>
        <w:spacing w:after="40" w:before="360"/>
      </w:pPr>
      <w:r>
        <w:rPr>
          <w:rFonts w:ascii="Inter" w:hAnsi="Inter" w:eastAsia="Inter" w:cs="Inter"/>
          <w:b/>
          <w:bCs/>
          <w:color w:val="315BFF"/>
          <w:spacing w:val="20"/>
          <w:sz w:val="16"/>
          <w:szCs w:val="16"/>
        </w:rPr>
        <w:t xml:space="preserve">3.5 TRAINING PAGE</w:t>
      </w:r>
    </w:p>
    <w:p>
      <w:pPr>
        <w:pStyle w:val="Heading2"/>
        <w:keepNext/>
        <w:keepLines/>
        <w:widowControl/>
        <w:spacing w:before="0"/>
      </w:pPr>
      <w:r>
        <w:rPr>
          <w:rFonts w:ascii="Manrope" w:hAnsi="Manrope" w:eastAsia="Manrope" w:cs="Manrope"/>
          <w:color w:val="101828"/>
        </w:rPr>
        <w:t xml:space="preserve">Sell applied change, not hours in a room</w:t>
      </w:r>
    </w:p>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360"/>
      </w:tblGrid>
      <w:tr>
        <w:trPr>
          <w:cantSplit/>
          <w:tblHeader w:val="true"/>
        </w:trPr>
        <w:tc>
          <w:tcPr>
            <w:tcW w:type="dxa" w:w="9360"/>
            <w:tcBorders>
              <w:top w:val="nil" w:color="FFFFFF" w:sz="0"/>
              <w:left w:val="single" w:color="3FAF8F" w:sz="20" w:space="0"/>
              <w:bottom w:val="nil" w:color="FFFFFF" w:sz="0"/>
              <w:right w:val="none" w:color="FFFFFF" w:sz="0"/>
              <w:end w:val="nil"/>
            </w:tcBorders>
            <w:shd w:fill="101828" w:color="auto" w:val="clear"/>
            <w:tcMar>
              <w:top w:type="dxa" w:w="120"/>
              <w:left w:type="dxa" w:w="240"/>
              <w:bottom w:type="dxa" w:w="120"/>
              <w:right w:type="dxa" w:w="240"/>
              <w:start w:w="160" w:type="dxa"/>
              <w:end w:w="160" w:type="dxa"/>
            </w:tcMar>
          </w:tcPr>
          <w:p>
            <w:pPr>
              <w:spacing w:after="60"/>
            </w:pPr>
            <w:r>
              <w:rPr>
                <w:rFonts w:ascii="Inter" w:cs="Inter" w:eastAsia="Inter" w:hAnsi="Inter"/>
                <w:b/>
                <w:bCs/>
                <w:color w:val="FFFFFF"/>
                <w:sz w:val="26"/>
                <w:szCs w:val="26"/>
              </w:rPr>
              <w:t xml:space="preserve">Build the capability to repeat the gains.</w:t>
            </w:r>
          </w:p>
        </w:tc>
      </w:tr>
    </w:tbl>
    <w:p>
      <w:pPr>
        <w:spacing w:after="160" w:before="0"/>
      </w:pPr>
    </w:p>
    <w:p>
      <w:pPr>
        <w:spacing w:after="140"/>
      </w:pPr>
      <w:r>
        <w:rPr>
          <w:rFonts w:ascii="Inter" w:hAnsi="Inter" w:eastAsia="Inter" w:cs="Inter"/>
          <w:b/>
          <w:bCs/>
          <w:color w:val="101828"/>
        </w:rPr>
        <w:t>Standalone private training programs for agency and brand teams responsible for Amazon growth, content, creative, client service and marketplace operations. Programs use live products and workflows, produce practical business outputs and include tools and follow-through that participants can use after the sessions end. Primary action: Plan a private training program. Secondary action: Compare launch programs.</w:t>
      </w:r>
    </w:p>
    <w:p>
      <w:pPr>
        <w:spacing w:after="140"/>
      </w:pPr>
      <w:r>
        <w:rPr>
          <w:rFonts w:ascii="Inter" w:hAnsi="Inter" w:eastAsia="Inter" w:cs="Inter"/>
          <w:color w:val="101828"/>
        </w:rPr>
        <w:t>At launch the page features two paid standalone programs. Each card shows the audience, business problem, prerequisites, format, applied outputs, tools and follow-through. Neither program requires an outsourced delivery engagement.</w:t>
      </w:r>
    </w:p>
    <w:tbl>
      <w:tblPr>
        <w:tblW w:type="dxa" w:w="9360"/>
        <w:tblBorders>
          <w:top w:val="nil" w:color="D9DEE8" w:sz="4"/>
          <w:left w:val="none" w:color="FFFFFF" w:sz="0"/>
          <w:bottom w:val="single" w:color="D9DEE8" w:sz="5" w:space="0"/>
          <w:right w:val="none" w:color="FFFFFF" w:sz="0"/>
          <w:insideH w:val="single" w:color="D9DEE8" w:sz="5" w:space="0"/>
          <w:insideV w:val="nil" w:color="FFFFFF" w:sz="0"/>
          <w:start w:val="nil"/>
          <w:end w:val="nil"/>
        </w:tblBorders>
        <w:tblLayout w:type="fixed"/>
      </w:tblPr>
      <w:tblGrid>
        <w:gridCol w:w="2059"/>
        <w:gridCol w:w="3182"/>
        <w:gridCol w:w="4119"/>
      </w:tblGrid>
      <w:tr>
        <w:trPr>
          <w:cantSplit/>
          <w:tblHeader w:val="true"/>
        </w:trPr>
        <w:tc>
          <w:tcPr>
            <w:tcW w:type="dxa" w:w="2059"/>
            <w:shd w:fill="101828" w:color="auto" w:val="clear"/>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FFFFFF"/>
                <w:sz w:val="18"/>
                <w:szCs w:val="18"/>
              </w:rPr>
              <w:t>Program</w:t>
            </w:r>
          </w:p>
        </w:tc>
        <w:tc>
          <w:tcPr>
            <w:tcW w:type="dxa" w:w="3182"/>
            <w:shd w:fill="101828" w:color="auto" w:val="clear"/>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FFFFFF"/>
                <w:sz w:val="18"/>
                <w:szCs w:val="18"/>
              </w:rPr>
              <w:t>For and format</w:t>
            </w:r>
          </w:p>
        </w:tc>
        <w:tc>
          <w:tcPr>
            <w:tcW w:type="dxa" w:w="4119"/>
            <w:shd w:fill="101828" w:color="auto" w:val="clear"/>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FFFFFF"/>
                <w:sz w:val="18"/>
                <w:szCs w:val="18"/>
              </w:rPr>
              <w:t>Applied outcome</w:t>
            </w:r>
          </w:p>
        </w:tc>
      </w:tr>
      <w:tr>
        <w:trPr>
          <w:cantSplit/>
          <w:tblHeader w:val="false"/>
        </w:trPr>
        <w:tc>
          <w:tcPr>
            <w:tcW w:type="dxa" w:w="2059"/>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101828"/>
                <w:sz w:val="18"/>
                <w:szCs w:val="18"/>
              </w:rPr>
              <w:t>Amazon Conversion Foundations</w:t>
            </w:r>
          </w:p>
        </w:tc>
        <w:tc>
          <w:tcPr>
            <w:tcW w:type="dxa" w:w="3182"/>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Agency account teams, marketplace specialists, content teams and brand marketers; one private day or two half-days, with pre-work and a 30-day review</w:t>
            </w:r>
          </w:p>
        </w:tc>
        <w:tc>
          <w:tcPr>
            <w:tcW w:type="dxa" w:w="4119"/>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Completed ASIN diagnosis, revised message hierarchy, image-sequence brief, listing-quality checklist and implementation plan</w:t>
            </w:r>
          </w:p>
        </w:tc>
      </w:tr>
      <w:tr>
        <w:trPr>
          <w:cantSplit/>
          <w:tblHeader w:val="false"/>
        </w:trPr>
        <w:tc>
          <w:tcPr>
            <w:tcW w:type="dxa" w:w="2059"/>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101828"/>
                <w:sz w:val="18"/>
                <w:szCs w:val="18"/>
              </w:rPr>
              <w:t>Agency Marketplace Enablement</w:t>
            </w:r>
          </w:p>
        </w:tc>
        <w:tc>
          <w:tcPr>
            <w:tcW w:type="dxa" w:w="3182"/>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Agency founders, account leaders, strategists, operations leaders and delivery managers; two leadership sessions, one pilot and review over two to four weeks</w:t>
            </w:r>
          </w:p>
        </w:tc>
        <w:tc>
          <w:tcPr>
            <w:tcW w:type="dxa" w:w="4119"/>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Offer architecture, scoping guide, delivery and quality model, role map and pilot-account plan</w:t>
            </w:r>
          </w:p>
        </w:tc>
      </w:tr>
    </w:tbl>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360"/>
      </w:tblGrid>
      <w:tr>
        <w:trPr>
          <w:cantSplit/>
          <w:tblHeader w:val="true"/>
        </w:trPr>
        <w:tc>
          <w:tcPr>
            <w:tcW w:type="dxa" w:w="9360"/>
            <w:tcBorders>
              <w:top w:val="nil" w:color="FFFFFF" w:sz="0"/>
              <w:left w:val="single" w:color="315BFF" w:sz="20" w:space="0"/>
              <w:bottom w:val="nil" w:color="FFFFFF" w:sz="0"/>
              <w:right w:val="none" w:color="FFFFFF" w:sz="0"/>
              <w:end w:val="nil"/>
            </w:tcBorders>
            <w:shd w:fill="EAF0FF" w:color="auto" w:val="clear"/>
            <w:tcMar>
              <w:top w:type="dxa" w:w="120"/>
              <w:left w:type="dxa" w:w="240"/>
              <w:bottom w:type="dxa" w:w="120"/>
              <w:right w:type="dxa" w:w="240"/>
              <w:start w:w="160" w:type="dxa"/>
              <w:end w:w="160" w:type="dxa"/>
            </w:tcMar>
          </w:tcPr>
          <w:p>
            <w:pPr>
              <w:spacing w:after="70"/>
            </w:pPr>
            <w:r>
              <w:rPr>
                <w:rFonts w:ascii="Inter" w:hAnsi="Inter" w:eastAsia="Inter" w:cs="Inter"/>
                <w:b/>
                <w:bCs/>
                <w:color w:val="101828"/>
                <w:sz w:val="19"/>
                <w:szCs w:val="19"/>
              </w:rPr>
              <w:t>Both programs are sold independently. ADelier does not require a delivery project before training, and participants do not need to outsource implementation afterwards.</w:t>
            </w:r>
          </w:p>
        </w:tc>
      </w:tr>
    </w:tbl>
    <w:p>
      <w:pPr>
        <w:pStyle w:val="Heading3"/>
        <w:keepNext/>
        <w:keepLines/>
        <w:widowControl/>
      </w:pPr>
      <w:r>
        <w:rPr>
          <w:rFonts w:ascii="Inter" w:hAnsi="Inter" w:eastAsia="Inter" w:cs="Inter"/>
          <w:color w:val="315BFF"/>
        </w:rPr>
        <w:t xml:space="preserve">Evidence to show</w:t>
      </w:r>
    </w:p>
    <w:p>
      <w:pPr>
        <w:spacing w:after="140"/>
      </w:pPr>
      <w:r>
        <w:rPr>
          <w:rFonts w:ascii="Inter" w:hAnsi="Inter" w:eastAsia="Inter" w:cs="Inter"/>
          <w:color w:val="101828"/>
        </w:rPr>
        <w:t xml:space="preserve">Sample workbook pages, real exercise output, participant quality improvement, adoption after 30 or 60 days, an internal champion established, and a workflow or rubric still in use after the program. Participant feedback is supporting proof, not the only proof.</w:t>
      </w:r>
    </w:p>
    <w:p>
      <w:pPr>
        <w:keepNext/>
        <w:spacing w:after="40" w:before="360"/>
      </w:pPr>
      <w:r>
        <w:rPr>
          <w:rFonts w:ascii="Inter" w:hAnsi="Inter" w:eastAsia="Inter" w:cs="Inter"/>
          <w:b/>
          <w:bCs/>
          <w:color w:val="315BFF"/>
          <w:spacing w:val="20"/>
          <w:sz w:val="16"/>
          <w:szCs w:val="16"/>
        </w:rPr>
        <w:t>3.6 PROOF AND CASE STUDIES</w:t>
      </w:r>
    </w:p>
    <w:p>
      <w:pPr>
        <w:pStyle w:val="Heading2"/>
        <w:keepNext/>
        <w:keepLines/>
        <w:widowControl/>
        <w:spacing w:before="0"/>
      </w:pPr>
      <w:r>
        <w:rPr>
          <w:rFonts w:ascii="Manrope" w:hAnsi="Manrope" w:eastAsia="Manrope" w:cs="Manrope"/>
          <w:color w:val="101828"/>
        </w:rPr>
        <w:t>Distribute proof where it supports the decision</w:t>
      </w:r>
    </w:p>
    <w:p>
      <w:pPr>
        <w:pStyle w:val="Heading3"/>
        <w:keepNext/>
        <w:keepLines/>
        <w:widowControl/>
      </w:pPr>
      <w:r>
        <w:rPr>
          <w:rFonts w:ascii="Inter" w:hAnsi="Inter" w:eastAsia="Inter" w:cs="Inter"/>
          <w:color w:val="315BFF"/>
        </w:rPr>
        <w:t>No standalone Results tab</w:t>
      </w:r>
    </w:p>
    <w:p>
      <w:pPr>
        <w:spacing w:after="140"/>
      </w:pPr>
      <w:r>
        <w:rPr>
          <w:rFonts w:ascii="Inter" w:hAnsi="Inter" w:eastAsia="Inter" w:cs="Inter"/>
          <w:color w:val="101828"/>
        </w:rPr>
        <w:t>Use client-approved evidence across audience pages, service pages, proposals and sales materials. Do not maintain a standalone Results navigation item until the evidence base is substantial enough to justify it. When a case study is published, structure it around the client situation, baseline, diagnosis, choice, work, result, context and limits to attribution, capability transferred and next step. The full template is in the Delivery and Training Standard.</w:t>
      </w:r>
    </w:p>
    <w:p>
      <w:pPr>
        <w:pStyle w:val="Heading3"/>
        <w:keepNext/>
        <w:keepLines/>
        <w:widowControl/>
      </w:pPr>
      <w:r>
        <w:rPr>
          <w:rFonts w:ascii="Inter" w:hAnsi="Inter" w:eastAsia="Inter" w:cs="Inter"/>
          <w:color w:val="315BFF"/>
        </w:rPr>
        <w:t xml:space="preserve">Headline formula</w:t>
      </w:r>
    </w:p>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360"/>
      </w:tblGrid>
      <w:tr>
        <w:trPr>
          <w:cantSplit/>
          <w:tblHeader w:val="true"/>
        </w:trPr>
        <w:tc>
          <w:tcPr>
            <w:tcW w:type="dxa" w:w="9360"/>
            <w:tcBorders>
              <w:top w:val="nil" w:color="FFFFFF" w:sz="0"/>
              <w:left w:val="single" w:color="315BFF" w:sz="20" w:space="0"/>
              <w:bottom w:val="nil" w:color="FFFFFF" w:sz="0"/>
              <w:right w:val="none" w:color="FFFFFF" w:sz="0"/>
              <w:end w:val="nil"/>
            </w:tcBorders>
            <w:shd w:fill="EAF0FF" w:color="auto" w:val="clear"/>
            <w:tcMar>
              <w:top w:type="dxa" w:w="120"/>
              <w:left w:type="dxa" w:w="240"/>
              <w:bottom w:type="dxa" w:w="120"/>
              <w:right w:type="dxa" w:w="240"/>
              <w:start w:w="160" w:type="dxa"/>
              <w:end w:w="160" w:type="dxa"/>
            </w:tcMar>
          </w:tcPr>
          <w:p>
            <w:pPr>
              <w:spacing w:after="70"/>
            </w:pPr>
            <w:r>
              <w:rPr>
                <w:rFonts w:ascii="Inter" w:hAnsi="Inter" w:eastAsia="Inter" w:cs="Inter"/>
                <w:b/>
                <w:bCs/>
                <w:color w:val="101828"/>
                <w:sz w:val="19"/>
                <w:szCs w:val="19"/>
              </w:rPr>
              <w:t xml:space="preserve">Prefer:</w:t>
            </w:r>
            <w:r>
              <w:rPr>
                <w:rFonts w:ascii="Inter" w:hAnsi="Inter" w:eastAsia="Inter" w:cs="Inter"/>
                <w:color w:val="101828"/>
                <w:sz w:val="19"/>
                <w:szCs w:val="19"/>
              </w:rPr>
              <w:t xml:space="preserve"> How a performance agency added Amazon conversion capability without hiring a full internal team.</w:t>
            </w:r>
          </w:p>
          <w:p>
            <w:pPr>
              <w:spacing w:after="70"/>
            </w:pPr>
            <w:r>
              <w:rPr>
                <w:rFonts w:ascii="Inter" w:hAnsi="Inter" w:eastAsia="Inter" w:cs="Inter"/>
                <w:b/>
                <w:bCs/>
                <w:color w:val="101828"/>
                <w:sz w:val="19"/>
                <w:szCs w:val="19"/>
              </w:rPr>
              <w:t xml:space="preserve">Prefer:</w:t>
            </w:r>
            <w:r>
              <w:rPr>
                <w:rFonts w:ascii="Inter" w:hAnsi="Inter" w:eastAsia="Inter" w:cs="Inter"/>
                <w:color w:val="101828"/>
                <w:sz w:val="19"/>
                <w:szCs w:val="19"/>
              </w:rPr>
              <w:t xml:space="preserve"> How a marketplace team reduced content cycle time while introducing a human-reviewed AI workflow.</w:t>
            </w:r>
          </w:p>
          <w:p>
            <w:pPr>
              <w:spacing w:after="70"/>
            </w:pPr>
            <w:r>
              <w:rPr>
                <w:rFonts w:ascii="Inter" w:hAnsi="Inter" w:eastAsia="Inter" w:cs="Inter"/>
                <w:b/>
                <w:bCs/>
                <w:color w:val="101828"/>
                <w:sz w:val="19"/>
                <w:szCs w:val="19"/>
              </w:rPr>
              <w:t xml:space="preserve">Avoid:</w:t>
            </w:r>
            <w:r>
              <w:rPr>
                <w:rFonts w:ascii="Inter" w:hAnsi="Inter" w:eastAsia="Inter" w:cs="Inter"/>
                <w:color w:val="101828"/>
                <w:sz w:val="19"/>
                <w:szCs w:val="19"/>
              </w:rPr>
              <w:t xml:space="preserve"> ADelier transforms leading brand with innovative solutions.</w:t>
            </w:r>
          </w:p>
        </w:tc>
      </w:tr>
    </w:tbl>
    <w:p>
      <w:pPr>
        <w:spacing w:after="160" w:before="0"/>
      </w:pPr>
    </w:p>
    <w:p>
      <w:pPr>
        <w:pStyle w:val="Heading3"/>
        <w:keepNext/>
        <w:keepLines/>
        <w:widowControl/>
      </w:pPr>
      <w:r>
        <w:rPr>
          <w:rFonts w:ascii="Inter" w:hAnsi="Inter" w:eastAsia="Inter" w:cs="Inter"/>
          <w:color w:val="315BFF"/>
        </w:rPr>
        <w:t>Demonstration layout rule</w:t>
      </w:r>
    </w:p>
    <w:p>
      <w:pPr>
        <w:spacing w:after="140"/>
      </w:pPr>
      <w:r>
        <w:rPr>
          <w:rFonts w:ascii="Inter" w:hAnsi="Inter" w:eastAsia="Inter" w:cs="Inter"/>
          <w:color w:val="101828"/>
        </w:rPr>
        <w:t>Use spacing, sequence, typography and Cobalt Tint or neutral emphasis to show improvement. Do not place an open-corner Focus Frame around an individual Improved row, a table cell or another element that is already highlighted by background color.</w:t>
      </w:r>
    </w:p>
    <w:p>
      <w:pPr>
        <w:pStyle w:val="Heading3"/>
        <w:keepNext/>
        <w:keepLines/>
        <w:widowControl/>
      </w:pPr>
      <w:r>
        <w:rPr>
          <w:rFonts w:ascii="Inter" w:hAnsi="Inter" w:eastAsia="Inter" w:cs="Inter"/>
          <w:color w:val="315BFF"/>
        </w:rPr>
        <w:t xml:space="preserve">Confidential work</w:t>
      </w:r>
    </w:p>
    <w:p>
      <w:pPr>
        <w:spacing w:after="140"/>
      </w:pPr>
      <w:r>
        <w:rPr>
          <w:rFonts w:ascii="Inter" w:hAnsi="Inter" w:eastAsia="Inter" w:cs="Inter"/>
          <w:color w:val="101828"/>
        </w:rPr>
        <w:t xml:space="preserve">White-label and protected work may be presented through anonymized categories and situations, permissioned screenshots with identifiers removed, indexed rather than absolute performance changes, private portfolio reviews under NDA, and process examples built on fictional products clearly marked as demonstrations. Never imply that a demonstration is a client result.</w:t>
      </w:r>
    </w:p>
    <w:p>
      <w:pPr>
        <w:keepNext/>
        <w:spacing w:after="40" w:before="360"/>
      </w:pPr>
      <w:r>
        <w:rPr>
          <w:rFonts w:ascii="Inter" w:hAnsi="Inter" w:eastAsia="Inter" w:cs="Inter"/>
          <w:b/>
          <w:bCs/>
          <w:color w:val="315BFF"/>
          <w:spacing w:val="20"/>
          <w:sz w:val="16"/>
          <w:szCs w:val="16"/>
        </w:rPr>
        <w:t>3.7 ABOUT PAGE</w:t>
      </w:r>
    </w:p>
    <w:p>
      <w:pPr>
        <w:pStyle w:val="Heading2"/>
        <w:keepNext/>
        <w:keepLines/>
        <w:widowControl/>
        <w:spacing w:before="0"/>
      </w:pPr>
      <w:r>
        <w:rPr>
          <w:rFonts w:ascii="Manrope" w:hAnsi="Manrope" w:eastAsia="Manrope" w:cs="Manrope"/>
          <w:color w:val="101828"/>
        </w:rPr>
        <w:t>Make the company model clear without placeholders</w:t>
      </w:r>
    </w:p>
    <w:p>
      <w:pPr>
        <w:spacing w:after="140"/>
      </w:pPr>
      <w:r>
        <w:rPr>
          <w:rFonts w:ascii="Inter" w:hAnsi="Inter" w:eastAsia="Inter" w:cs="Inter"/>
          <w:color w:val="101828"/>
        </w:rPr>
        <w:t>Use the approved stacked logo on the left and the About hero copy on the right; on mobile, place the logo above the copy and keep it left-aligned.</w:t>
      </w:r>
    </w:p>
    <w:p>
      <w:pPr>
        <w:pStyle w:val="ListParagraph"/>
        <w:numPr>
          <w:ilvl w:val="0"/>
          <w:numId w:val="2"/>
        </w:numPr>
        <w:spacing w:after="60"/>
      </w:pPr>
      <w:r>
        <w:rPr>
          <w:rFonts w:ascii="Inter" w:hAnsi="Inter" w:eastAsia="Inter" w:cs="Inter"/>
          <w:color w:val="101828"/>
        </w:rPr>
        <w:t>Include brand belief, who ADelier serves, the international Poland-based operating model, expert accountability and personality in practice.</w:t>
      </w:r>
    </w:p>
    <w:p>
      <w:pPr>
        <w:pStyle w:val="ListParagraph"/>
        <w:numPr>
          <w:ilvl w:val="0"/>
          <w:numId w:val="2"/>
        </w:numPr>
        <w:spacing w:after="60"/>
      </w:pPr>
      <w:r>
        <w:rPr>
          <w:rFonts w:ascii="Inter" w:hAnsi="Inter" w:eastAsia="Inter" w:cs="Inter"/>
          <w:color w:val="101828"/>
        </w:rPr>
        <w:t>Do not publish “The people accountable for the work” until approved names, responsibilities, biographies and portraits are available. Never publish placeholder people or incomplete role cards.</w:t>
      </w:r>
    </w:p>
    <w:p>
      <w:pPr>
        <w:pStyle w:val="ListParagraph"/>
        <w:numPr>
          <w:ilvl w:val="0"/>
          <w:numId w:val="2"/>
        </w:numPr>
        <w:spacing w:after="60"/>
      </w:pPr>
      <w:r>
        <w:rPr>
          <w:rFonts w:ascii="Inter" w:hAnsi="Inter" w:eastAsia="Inter" w:cs="Inter"/>
          <w:color w:val="101828"/>
        </w:rPr>
        <w:t>Do not use “Future-ready, not overclaimed” as a public About section. Keep platform-expansion criteria inside the internal playbook until there is a concrete capability announcement.</w:t>
      </w:r>
    </w:p>
    <w:p>
      <w:pPr>
        <w:keepNext/>
        <w:spacing w:after="40" w:before="360"/>
      </w:pPr>
      <w:r>
        <w:rPr>
          <w:rFonts w:ascii="Inter" w:hAnsi="Inter" w:eastAsia="Inter" w:cs="Inter"/>
          <w:b/>
          <w:bCs/>
          <w:color w:val="315BFF"/>
          <w:spacing w:val="20"/>
          <w:sz w:val="16"/>
          <w:szCs w:val="16"/>
        </w:rPr>
        <w:t>3.8 CONTENT AND THOUGHT LEADERSHIP</w:t>
      </w:r>
    </w:p>
    <w:p>
      <w:pPr>
        <w:pStyle w:val="Heading2"/>
        <w:keepNext/>
        <w:keepLines/>
        <w:widowControl/>
        <w:spacing w:before="0"/>
      </w:pPr>
      <w:r>
        <w:rPr>
          <w:rFonts w:ascii="Manrope" w:hAnsi="Manrope" w:eastAsia="Manrope" w:cs="Manrope"/>
          <w:color w:val="101828"/>
        </w:rPr>
        <w:t xml:space="preserve">Teach the market how to judge better work</w:t>
      </w:r>
    </w:p>
    <w:p>
      <w:pPr>
        <w:spacing w:after="140"/>
      </w:pPr>
      <w:r>
        <w:rPr>
          <w:rFonts w:ascii="Inter" w:hAnsi="Inter" w:eastAsia="Inter" w:cs="Inter"/>
          <w:color w:val="101828"/>
        </w:rPr>
        <w:t xml:space="preserve">The goal is not maximum posting frequency. It is to become associated with clearer marketplace decisions and practical capability building.</w:t>
      </w:r>
    </w:p>
    <w:tbl>
      <w:tblPr>
        <w:tblW w:type="dxa" w:w="9360"/>
        <w:tblBorders>
          <w:top w:val="nil" w:color="D9DEE8" w:sz="4"/>
          <w:left w:val="none" w:color="FFFFFF" w:sz="0"/>
          <w:bottom w:val="single" w:color="D9DEE8" w:sz="5" w:space="0"/>
          <w:right w:val="none" w:color="FFFFFF" w:sz="0"/>
          <w:insideH w:val="single" w:color="D9DEE8" w:sz="5" w:space="0"/>
          <w:insideV w:val="nil" w:color="FFFFFF" w:sz="0"/>
          <w:start w:val="nil"/>
          <w:end w:val="nil"/>
        </w:tblBorders>
        <w:tblLayout w:type="fixed"/>
      </w:tblPr>
      <w:tblGrid>
        <w:gridCol w:w="2059"/>
        <w:gridCol w:w="3182"/>
        <w:gridCol w:w="4119"/>
      </w:tblGrid>
      <w:tr>
        <w:trPr>
          <w:cantSplit/>
          <w:tblHeader w:val="true"/>
        </w:trPr>
        <w:tc>
          <w:tcPr>
            <w:tcW w:type="dxa" w:w="2059"/>
            <w:shd w:fill="101828" w:color="auto" w:val="clear"/>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FFFFFF"/>
                <w:sz w:val="18"/>
                <w:szCs w:val="18"/>
              </w:rPr>
              <w:t xml:space="preserve">Content pillar</w:t>
            </w:r>
          </w:p>
        </w:tc>
        <w:tc>
          <w:tcPr>
            <w:tcW w:type="dxa" w:w="3182"/>
            <w:shd w:fill="101828" w:color="auto" w:val="clear"/>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FFFFFF"/>
                <w:sz w:val="18"/>
                <w:szCs w:val="18"/>
              </w:rPr>
              <w:t xml:space="preserve">Purpose</w:t>
            </w:r>
          </w:p>
        </w:tc>
        <w:tc>
          <w:tcPr>
            <w:tcW w:type="dxa" w:w="4119"/>
            <w:shd w:fill="101828" w:color="auto" w:val="clear"/>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FFFFFF"/>
                <w:sz w:val="18"/>
                <w:szCs w:val="18"/>
              </w:rPr>
              <w:t xml:space="preserve">Example topic</w:t>
            </w:r>
          </w:p>
        </w:tc>
      </w:tr>
      <w:tr>
        <w:trPr>
          <w:cantSplit/>
          <w:tblHeader w:val="false"/>
        </w:trPr>
        <w:tc>
          <w:tcPr>
            <w:tcW w:type="dxa" w:w="2059"/>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101828"/>
                <w:sz w:val="18"/>
                <w:szCs w:val="18"/>
              </w:rPr>
              <w:t xml:space="preserve">Product choice</w:t>
            </w:r>
          </w:p>
        </w:tc>
        <w:tc>
          <w:tcPr>
            <w:tcW w:type="dxa" w:w="3182"/>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Show how positioning and evidence affect conversion</w:t>
            </w:r>
          </w:p>
        </w:tc>
        <w:tc>
          <w:tcPr>
            <w:tcW w:type="dxa" w:w="4119"/>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The first three questions every image sequence must answer</w:t>
            </w:r>
          </w:p>
        </w:tc>
      </w:tr>
      <w:tr>
        <w:trPr>
          <w:cantSplit/>
          <w:tblHeader w:val="false"/>
        </w:trPr>
        <w:tc>
          <w:tcPr>
            <w:tcW w:type="dxa" w:w="2059"/>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101828"/>
                <w:sz w:val="18"/>
                <w:szCs w:val="18"/>
              </w:rPr>
              <w:t xml:space="preserve">Marketplace diagnosis</w:t>
            </w:r>
          </w:p>
        </w:tc>
        <w:tc>
          <w:tcPr>
            <w:tcW w:type="dxa" w:w="3182"/>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Teach readers to separate symptoms from causes</w:t>
            </w:r>
          </w:p>
        </w:tc>
        <w:tc>
          <w:tcPr>
            <w:tcW w:type="dxa" w:w="4119"/>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When a low conversion rate is not primarily a copy problem</w:t>
            </w:r>
          </w:p>
        </w:tc>
      </w:tr>
      <w:tr>
        <w:trPr>
          <w:cantSplit/>
          <w:tblHeader w:val="false"/>
        </w:trPr>
        <w:tc>
          <w:tcPr>
            <w:tcW w:type="dxa" w:w="2059"/>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101828"/>
                <w:sz w:val="18"/>
                <w:szCs w:val="18"/>
              </w:rPr>
              <w:t xml:space="preserve">AI with standards</w:t>
            </w:r>
          </w:p>
        </w:tc>
        <w:tc>
          <w:tcPr>
            <w:tcW w:type="dxa" w:w="3182"/>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Show governed, useful application</w:t>
            </w:r>
          </w:p>
        </w:tc>
        <w:tc>
          <w:tcPr>
            <w:tcW w:type="dxa" w:w="4119"/>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Where human review belongs in an AI-assisted listing workflow</w:t>
            </w:r>
          </w:p>
        </w:tc>
      </w:tr>
      <w:tr>
        <w:trPr>
          <w:cantSplit/>
          <w:tblHeader w:val="false"/>
        </w:trPr>
        <w:tc>
          <w:tcPr>
            <w:tcW w:type="dxa" w:w="2059"/>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101828"/>
                <w:sz w:val="18"/>
                <w:szCs w:val="18"/>
              </w:rPr>
              <w:t xml:space="preserve">Agency capability</w:t>
            </w:r>
          </w:p>
        </w:tc>
        <w:tc>
          <w:tcPr>
            <w:tcW w:type="dxa" w:w="3182"/>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Help agencies expand responsibly</w:t>
            </w:r>
          </w:p>
        </w:tc>
        <w:tc>
          <w:tcPr>
            <w:tcW w:type="dxa" w:w="4119"/>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When to hire, partner or train for Amazon delivery</w:t>
            </w:r>
          </w:p>
        </w:tc>
      </w:tr>
      <w:tr>
        <w:trPr>
          <w:cantSplit/>
          <w:tblHeader w:val="false"/>
        </w:trPr>
        <w:tc>
          <w:tcPr>
            <w:tcW w:type="dxa" w:w="2059"/>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101828"/>
                <w:sz w:val="18"/>
                <w:szCs w:val="18"/>
              </w:rPr>
              <w:t xml:space="preserve">Team enablement</w:t>
            </w:r>
          </w:p>
        </w:tc>
        <w:tc>
          <w:tcPr>
            <w:tcW w:type="dxa" w:w="3182"/>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Show how capability becomes repeatable</w:t>
            </w:r>
          </w:p>
        </w:tc>
        <w:tc>
          <w:tcPr>
            <w:tcW w:type="dxa" w:w="4119"/>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Why one-off training rarely changes content quality</w:t>
            </w:r>
          </w:p>
        </w:tc>
      </w:tr>
      <w:tr>
        <w:trPr>
          <w:cantSplit/>
          <w:tblHeader w:val="false"/>
        </w:trPr>
        <w:tc>
          <w:tcPr>
            <w:tcW w:type="dxa" w:w="2059"/>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101828"/>
                <w:sz w:val="18"/>
                <w:szCs w:val="18"/>
              </w:rPr>
              <w:t xml:space="preserve">Proof and testing</w:t>
            </w:r>
          </w:p>
        </w:tc>
        <w:tc>
          <w:tcPr>
            <w:tcW w:type="dxa" w:w="3182"/>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Build a culture of evidence</w:t>
            </w:r>
          </w:p>
        </w:tc>
        <w:tc>
          <w:tcPr>
            <w:tcW w:type="dxa" w:w="4119"/>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How to read a marketplace before-and-after honestly</w:t>
            </w:r>
          </w:p>
        </w:tc>
      </w:tr>
    </w:tbl>
    <w:p>
      <w:pPr>
        <w:spacing w:after="160" w:before="0"/>
      </w:pPr>
    </w:p>
    <w:p>
      <w:pPr>
        <w:pStyle w:val="Heading3"/>
        <w:keepNext/>
        <w:keepLines/>
        <w:widowControl/>
      </w:pPr>
      <w:r>
        <w:rPr>
          <w:rFonts w:ascii="Inter" w:hAnsi="Inter" w:eastAsia="Inter" w:cs="Inter"/>
          <w:color w:val="315BFF"/>
        </w:rPr>
        <w:t xml:space="preserve">Signature formats</w:t>
      </w:r>
    </w:p>
    <w:p>
      <w:pPr>
        <w:spacing w:after="140"/>
      </w:pPr>
      <w:r>
        <w:rPr>
          <w:rFonts w:ascii="Inter" w:hAnsi="Inter" w:eastAsia="Inter" w:cs="Inter"/>
          <w:color w:val="101828"/>
        </w:rPr>
        <w:t xml:space="preserve">One product, one decision (a short teardown); Before, reason, after; The ADelier quality test (a reusable checklist); Workflow in practice (a human-AI process with roles); Agency partner note; Training field note.</w:t>
      </w:r>
    </w:p>
    <w:p>
      <w:pPr>
        <w:pStyle w:val="Heading3"/>
        <w:keepNext/>
        <w:keepLines/>
        <w:widowControl/>
      </w:pPr>
      <w:r>
        <w:rPr>
          <w:rFonts w:ascii="Inter" w:hAnsi="Inter" w:eastAsia="Inter" w:cs="Inter"/>
          <w:color w:val="315BFF"/>
        </w:rPr>
        <w:t xml:space="preserve">Publishing standards and cadence</w:t>
      </w:r>
    </w:p>
    <w:p>
      <w:pPr>
        <w:pStyle w:val="ListParagraph"/>
        <w:numPr>
          <w:ilvl w:val="0"/>
          <w:numId w:val="2"/>
        </w:numPr>
        <w:spacing w:after="60"/>
      </w:pPr>
      <w:r>
        <w:rPr>
          <w:rFonts w:ascii="Inter" w:hAnsi="Inter" w:eastAsia="Inter" w:cs="Inter"/>
          <w:color w:val="101828"/>
        </w:rPr>
        <w:t xml:space="preserve">Teach one useful distinction per post, using real evidence or clearly identified hypothetical examples.</w:t>
      </w:r>
    </w:p>
    <w:p>
      <w:pPr>
        <w:pStyle w:val="ListParagraph"/>
        <w:numPr>
          <w:ilvl w:val="0"/>
          <w:numId w:val="2"/>
        </w:numPr>
        <w:spacing w:after="60"/>
      </w:pPr>
      <w:r>
        <w:rPr>
          <w:rFonts w:ascii="Inter" w:hAnsi="Inter" w:eastAsia="Inter" w:cs="Inter"/>
          <w:color w:val="101828"/>
        </w:rPr>
        <w:t xml:space="preserve">Protect client confidentiality; never criticize individual sellers for entertainment.</w:t>
      </w:r>
    </w:p>
    <w:p>
      <w:pPr>
        <w:pStyle w:val="ListParagraph"/>
        <w:numPr>
          <w:ilvl w:val="0"/>
          <w:numId w:val="2"/>
        </w:numPr>
        <w:spacing w:after="60"/>
      </w:pPr>
      <w:r>
        <w:rPr>
          <w:rFonts w:ascii="Inter" w:hAnsi="Inter" w:eastAsia="Inter" w:cs="Inter"/>
          <w:color w:val="101828"/>
        </w:rPr>
        <w:t xml:space="preserve">Do not publish confidential platform screenshots or unsupported algorithm claims.</w:t>
      </w:r>
    </w:p>
    <w:p>
      <w:pPr>
        <w:pStyle w:val="ListParagraph"/>
        <w:numPr>
          <w:ilvl w:val="0"/>
          <w:numId w:val="2"/>
        </w:numPr>
        <w:spacing w:after="60"/>
      </w:pPr>
      <w:r>
        <w:rPr>
          <w:rFonts w:ascii="Inter" w:hAnsi="Inter" w:eastAsia="Inter" w:cs="Inter"/>
          <w:color w:val="101828"/>
        </w:rPr>
        <w:t xml:space="preserve">Starting cadence: one substantial article every two weeks, one concise visual or checklist each week, one agency or training insight each week, and one quarterly point of view.</w:t>
      </w:r>
    </w:p>
    <w:p>
      <w:pPr>
        <w:spacing w:after="80" w:before="0"/>
      </w:pPr>
    </w:p>
    <w:p>
      <w:pPr>
        <w:keepNext/>
        <w:spacing w:after="40" w:before="360"/>
      </w:pPr>
      <w:r>
        <w:rPr>
          <w:rFonts w:ascii="Inter" w:hAnsi="Inter" w:eastAsia="Inter" w:cs="Inter"/>
          <w:b/>
          <w:bCs/>
          <w:color w:val="315BFF"/>
          <w:spacing w:val="20"/>
          <w:sz w:val="16"/>
          <w:szCs w:val="16"/>
        </w:rPr>
        <w:t>3.9 PROFILES, EMAIL AND DECKS</w:t>
      </w:r>
    </w:p>
    <w:p>
      <w:pPr>
        <w:pStyle w:val="Heading2"/>
        <w:keepNext/>
        <w:keepLines/>
        <w:widowControl/>
        <w:spacing w:before="0"/>
      </w:pPr>
      <w:r>
        <w:rPr>
          <w:rFonts w:ascii="Manrope" w:hAnsi="Manrope" w:eastAsia="Manrope" w:cs="Manrope"/>
          <w:color w:val="101828"/>
        </w:rPr>
        <w:t xml:space="preserve">Keep profiles clear and commercially useful</w:t>
      </w:r>
    </w:p>
    <w:p>
      <w:pPr>
        <w:pStyle w:val="Heading3"/>
        <w:keepNext/>
        <w:keepLines/>
        <w:widowControl/>
      </w:pPr>
      <w:r>
        <w:rPr>
          <w:rFonts w:ascii="Inter" w:hAnsi="Inter" w:eastAsia="Inter" w:cs="Inter"/>
          <w:color w:val="315BFF"/>
        </w:rPr>
        <w:t xml:space="preserve">LinkedIn company description</w:t>
      </w:r>
    </w:p>
    <w:p>
      <w:pPr>
        <w:spacing w:after="140"/>
      </w:pPr>
      <w:r>
        <w:rPr>
          <w:rFonts w:ascii="Inter" w:hAnsi="Inter" w:eastAsia="Inter" w:cs="Inter"/>
          <w:color w:val="101828"/>
        </w:rPr>
        <w:t>ADelier is a marketplace growth partner for consumer brands and the agencies that serve them. We improve product positioning, conversion content, execution and team capability through marketplace expertise, AI-enabled workflows and applied training. Amazon first; broader marketplace growth as the model proves.</w:t>
      </w:r>
    </w:p>
    <w:p>
      <w:pPr>
        <w:pStyle w:val="Heading3"/>
        <w:keepNext/>
        <w:keepLines/>
        <w:widowControl/>
      </w:pPr>
      <w:r>
        <w:rPr>
          <w:rFonts w:ascii="Inter" w:hAnsi="Inter" w:eastAsia="Inter" w:cs="Inter"/>
          <w:color w:val="315BFF"/>
        </w:rPr>
        <w:t xml:space="preserve">Short profile line</w:t>
      </w:r>
    </w:p>
    <w:p>
      <w:pPr>
        <w:spacing w:after="140"/>
      </w:pPr>
      <w:r>
        <w:rPr>
          <w:rFonts w:ascii="Inter" w:hAnsi="Inter" w:eastAsia="Inter" w:cs="Inter"/>
          <w:color w:val="101828"/>
        </w:rPr>
        <w:t xml:space="preserve">Marketplace strategy, execution and team enablement. Positioned to sell. Equipped to scale.</w:t>
      </w:r>
    </w:p>
    <w:p>
      <w:pPr>
        <w:pStyle w:val="Heading3"/>
        <w:keepNext/>
        <w:keepLines/>
        <w:widowControl/>
      </w:pPr>
      <w:r>
        <w:rPr>
          <w:rFonts w:ascii="Inter" w:hAnsi="Inter" w:eastAsia="Inter" w:cs="Inter"/>
          <w:color w:val="315BFF"/>
        </w:rPr>
        <w:t xml:space="preserve">Email signature</w:t>
      </w:r>
    </w:p>
    <w:p>
      <w:pPr>
        <w:spacing w:after="140"/>
      </w:pPr>
      <w:r>
        <w:rPr>
          <w:rFonts w:ascii="Inter" w:hAnsi="Inter" w:eastAsia="Inter" w:cs="Inter"/>
          <w:color w:val="101828"/>
        </w:rPr>
        <w:t>Keep it text-based, accessible and compact: name; role and ADelier Commerce; Marketplace Growth Partner; website and LinkedIn; "Poland-based, international client focus." Avoid large embedded banners that increase email size or disappear in dark mode.</w:t>
      </w:r>
    </w:p>
    <w:p>
      <w:pPr>
        <w:pStyle w:val="Heading3"/>
        <w:keepNext/>
        <w:keepLines/>
        <w:widowControl/>
      </w:pPr>
      <w:r>
        <w:rPr>
          <w:rFonts w:ascii="Inter" w:hAnsi="Inter" w:eastAsia="Inter" w:cs="Inter"/>
          <w:color w:val="315BFF"/>
        </w:rPr>
        <w:t xml:space="preserve">Subject lines</w:t>
      </w:r>
    </w:p>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360"/>
      </w:tblGrid>
      <w:tr>
        <w:trPr>
          <w:cantSplit/>
          <w:tblHeader w:val="true"/>
        </w:trPr>
        <w:tc>
          <w:tcPr>
            <w:tcW w:type="dxa" w:w="9360"/>
            <w:tcBorders>
              <w:top w:val="nil" w:color="FFFFFF" w:sz="0"/>
              <w:left w:val="single" w:color="315BFF" w:sz="20" w:space="0"/>
              <w:bottom w:val="nil" w:color="FFFFFF" w:sz="0"/>
              <w:right w:val="none" w:color="FFFFFF" w:sz="0"/>
              <w:end w:val="nil"/>
            </w:tcBorders>
            <w:shd w:fill="EAF0FF" w:color="auto" w:val="clear"/>
            <w:tcMar>
              <w:top w:type="dxa" w:w="120"/>
              <w:left w:type="dxa" w:w="240"/>
              <w:bottom w:type="dxa" w:w="120"/>
              <w:right w:type="dxa" w:w="240"/>
              <w:start w:w="160" w:type="dxa"/>
              <w:end w:w="160" w:type="dxa"/>
            </w:tcMar>
          </w:tcPr>
          <w:p>
            <w:pPr>
              <w:spacing w:after="70"/>
            </w:pPr>
            <w:r>
              <w:rPr>
                <w:rFonts w:ascii="Inter" w:hAnsi="Inter" w:eastAsia="Inter" w:cs="Inter"/>
                <w:b/>
                <w:bCs/>
                <w:color w:val="101828"/>
                <w:sz w:val="19"/>
                <w:szCs w:val="19"/>
              </w:rPr>
              <w:t xml:space="preserve">Prefer:</w:t>
            </w:r>
            <w:r>
              <w:rPr>
                <w:rFonts w:ascii="Inter" w:hAnsi="Inter" w:eastAsia="Inter" w:cs="Inter"/>
                <w:color w:val="101828"/>
                <w:sz w:val="19"/>
                <w:szCs w:val="19"/>
              </w:rPr>
              <w:t xml:space="preserve"> Amazon capability support for [Agency]; Three findings from the [Product] ASIN review; Workshop proposal: AI workflow for marketplace content.</w:t>
            </w:r>
          </w:p>
          <w:p>
            <w:pPr>
              <w:spacing w:after="70"/>
            </w:pPr>
            <w:r>
              <w:rPr>
                <w:rFonts w:ascii="Inter" w:hAnsi="Inter" w:eastAsia="Inter" w:cs="Inter"/>
                <w:b/>
                <w:bCs/>
                <w:color w:val="101828"/>
                <w:sz w:val="19"/>
                <w:szCs w:val="19"/>
              </w:rPr>
              <w:t xml:space="preserve">Avoid:</w:t>
            </w:r>
            <w:r>
              <w:rPr>
                <w:rFonts w:ascii="Inter" w:hAnsi="Inter" w:eastAsia="Inter" w:cs="Inter"/>
                <w:color w:val="101828"/>
                <w:sz w:val="19"/>
                <w:szCs w:val="19"/>
              </w:rPr>
              <w:t xml:space="preserve"> Exciting partnership opportunity!!!; Unlock your Amazon growth; Quick question; Following up again.</w:t>
            </w:r>
          </w:p>
        </w:tc>
      </w:tr>
    </w:tbl>
    <w:p>
      <w:pPr>
        <w:pStyle w:val="Heading2"/>
        <w:keepNext/>
        <w:keepLines/>
        <w:widowControl/>
        <w:spacing w:before="0"/>
      </w:pPr>
      <w:r>
        <w:rPr>
          <w:rFonts w:ascii="Manrope" w:hAnsi="Manrope" w:eastAsia="Manrope" w:cs="Manrope"/>
          <w:color w:val="101828"/>
        </w:rPr>
        <w:t>Presentation and credentials decks</w:t>
      </w:r>
    </w:p>
    <w:p>
      <w:pPr>
        <w:spacing w:after="140"/>
      </w:pPr>
      <w:r>
        <w:rPr>
          <w:rFonts w:ascii="Inter" w:hAnsi="Inter" w:eastAsia="Inter" w:cs="Inter"/>
          <w:color w:val="101828"/>
        </w:rPr>
        <w:t>The deck should feel like a decision tool, not a catalogue. Use a 16:9 master with Manrope for titles and key metrics, Inter for body, tables and charts, and Source Serif 4 Italic only for short insights.</w:t>
      </w:r>
    </w:p>
    <w:p>
      <w:pPr>
        <w:pStyle w:val="ListParagraph"/>
        <w:numPr>
          <w:ilvl w:val="0"/>
          <w:numId w:val="2"/>
        </w:numPr>
        <w:spacing w:after="60"/>
      </w:pPr>
      <w:r>
        <w:rPr>
          <w:rFonts w:ascii="Inter" w:hAnsi="Inter" w:eastAsia="Inter" w:cs="Inter"/>
          <w:color w:val="101828"/>
        </w:rPr>
        <w:t>Use 44 to 52 pt cover titles, 30 to 34 pt slide titles, 18 to 21 pt body text, 16 to 18 pt tables and 10 to 12 pt source notes.</w:t>
      </w:r>
    </w:p>
    <w:p>
      <w:pPr>
        <w:pStyle w:val="ListParagraph"/>
        <w:numPr>
          <w:ilvl w:val="0"/>
          <w:numId w:val="2"/>
        </w:numPr>
        <w:spacing w:after="60"/>
      </w:pPr>
      <w:r>
        <w:rPr>
          <w:rFonts w:ascii="Inter" w:hAnsi="Inter" w:eastAsia="Inter" w:cs="Inter"/>
          <w:color w:val="101828"/>
        </w:rPr>
        <w:t>Keep one conclusion per slide and reduce content before shrinking type.</w:t>
      </w:r>
    </w:p>
    <w:p>
      <w:pPr>
        <w:pStyle w:val="ListParagraph"/>
        <w:numPr>
          <w:ilvl w:val="0"/>
          <w:numId w:val="2"/>
        </w:numPr>
        <w:spacing w:after="60"/>
      </w:pPr>
      <w:r>
        <w:rPr>
          <w:rFonts w:ascii="Inter" w:hAnsi="Inter" w:eastAsia="Inter" w:cs="Inter"/>
          <w:color w:val="101828"/>
        </w:rPr>
        <w:t>Show Marketplace Delivery and Training and Team Enablement as equal launch product families; do not reduce training to a supporting box.</w:t>
      </w:r>
    </w:p>
    <w:p>
      <w:pPr>
        <w:pStyle w:val="ListParagraph"/>
        <w:numPr>
          <w:ilvl w:val="0"/>
          <w:numId w:val="2"/>
        </w:numPr>
        <w:spacing w:after="60"/>
      </w:pPr>
      <w:r>
        <w:rPr>
          <w:rFonts w:ascii="Inter" w:hAnsi="Inter" w:eastAsia="Inter" w:cs="Inter"/>
          <w:color w:val="101828"/>
        </w:rPr>
        <w:t>Use real marketplace work, applied training outputs and quality evidence before decorative imagery or generic AI graphics.</w:t>
      </w:r>
    </w:p>
    <w:p>
      <w:pPr>
        <w:pStyle w:val="ListParagraph"/>
        <w:numPr>
          <w:ilvl w:val="0"/>
          <w:numId w:val="2"/>
        </w:numPr>
        <w:spacing w:after="60"/>
      </w:pPr>
      <w:r>
        <w:rPr>
          <w:rFonts w:ascii="Inter" w:hAnsi="Inter" w:eastAsia="Inter" w:cs="Inter"/>
          <w:color w:val="101828"/>
        </w:rPr>
        <w:t>Recommended credentials storyline: the problem, the ADelier system, three audience paths in the order Agencies, Consumer Brands, Training, five launch products, ways to work, the Choice System, human-accountable AI and quality, operating model, proof, and a specific next step.</w:t>
      </w:r>
    </w:p>
    <w:p>
      <w:pPr>
        <w:pStyle w:val="ListParagraph"/>
        <w:numPr>
          <w:ilvl w:val="0"/>
          <w:numId w:val="2"/>
        </w:numPr>
        <w:spacing w:after="60"/>
      </w:pPr>
      <w:r>
        <w:rPr>
          <w:rFonts w:ascii="Inter" w:hAnsi="Inter" w:eastAsia="Inter" w:cs="Inter"/>
          <w:color w:val="101828"/>
        </w:rPr>
        <w:t>Theme mapping: Heading = Manrope; Body = Inter; editorial accent = Source Serif 4 Italic applied manually. Use approved wordmark artwork rather than typed text.</w:t>
      </w:r>
    </w:p>
    <w:p>
      <w:pPr>
        <w:spacing w:after="160" w:before="0"/>
      </w:pPr>
    </w:p>
    <w:p>
      <w:pPr>
        <w:pageBreakBefore/>
        <w:spacing w:after="0" w:before="1800"/>
      </w:pPr>
    </w:p>
    <w:tbl>
      <w:tblPr>
        <w:tblW w:type="dxa" w:w="2600"/>
        <w:jc w:val="left"/>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
        <w:gridCol w:w="1880"/>
        <w:gridCol w:w="360"/>
      </w:tblGrid>
      <w:tr>
        <w:trPr>
          <w:trHeight w:val="260" w:hRule="exact"/>
          <w:tblHeader w:val="true"/>
          <w:cantSplit/>
        </w:trPr>
        <w:tc>
          <w:tcPr>
            <w:tcW w:type="dxa" w:w="360"/>
            <w:tcBorders>
              <w:top w:val="single" w:color="315BFF" w:sz="20"/>
              <w:left w:val="single" w:color="315BFF" w:sz="20"/>
              <w:bottom w:val="none" w:color="FFFFFF" w:sz="0"/>
              <w:right w:val="none" w:color="FFFFFF" w:sz="0"/>
            </w:tcBorders>
            <w:tcMar>
              <w:top w:type="dxa" w:w="0"/>
              <w:left w:type="dxa" w:w="0"/>
              <w:bottom w:type="dxa" w:w="0"/>
              <w:right w:type="dxa" w:w="0"/>
            </w:tcMar>
          </w:tcPr>
          <w:p>
            <w:pPr>
              <w:spacing w:after="0" w:line="20" w:lineRule="exact"/>
            </w:pPr>
            <w:r>
              <w:rPr>
                <w:sz w:val="2"/>
                <w:szCs w:val="2"/>
              </w:rPr>
              <w:t xml:space="preserve"/>
            </w:r>
          </w:p>
        </w:tc>
        <w:tc>
          <w:tcPr>
            <w:tcW w:type="dxa" w:w="1880"/>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line="20" w:lineRule="exact"/>
            </w:pPr>
            <w:r>
              <w:rPr>
                <w:sz w:val="2"/>
                <w:szCs w:val="2"/>
              </w:rPr>
              <w:t xml:space="preserve"/>
            </w:r>
          </w:p>
        </w:tc>
        <w:tc>
          <w:tcPr>
            <w:tcW w:type="dxa" w:w="360"/>
            <w:tcBorders>
              <w:top w:val="single" w:color="315BFF" w:sz="20"/>
              <w:left w:val="none" w:color="FFFFFF" w:sz="0"/>
              <w:bottom w:val="none" w:color="FFFFFF" w:sz="0"/>
              <w:right w:val="single" w:color="315BFF" w:sz="20"/>
            </w:tcBorders>
            <w:tcMar>
              <w:top w:type="dxa" w:w="0"/>
              <w:left w:type="dxa" w:w="0"/>
              <w:bottom w:type="dxa" w:w="0"/>
              <w:right w:type="dxa" w:w="0"/>
            </w:tcMar>
          </w:tcPr>
          <w:p>
            <w:pPr>
              <w:spacing w:after="0" w:line="20" w:lineRule="exact"/>
            </w:pPr>
            <w:r>
              <w:rPr>
                <w:sz w:val="2"/>
                <w:szCs w:val="2"/>
              </w:rPr>
              <w:t xml:space="preserve"/>
            </w:r>
          </w:p>
        </w:tc>
      </w:tr>
      <w:tr>
        <w:trPr>
          <w:cantSplit/>
        </w:trPr>
        <w:tc>
          <w:tcPr>
            <w:tcW w:type="dxa" w:w="360"/>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line="20" w:lineRule="exact"/>
            </w:pPr>
            <w:r>
              <w:rPr>
                <w:sz w:val="2"/>
                <w:szCs w:val="2"/>
              </w:rPr>
              <w:t xml:space="preserve"/>
            </w:r>
          </w:p>
        </w:tc>
        <w:tc>
          <w:tcPr>
            <w:tcW w:type="dxa" w:w="1880"/>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1400" w:lineRule="exact"/>
              <w:jc w:val="center"/>
            </w:pPr>
            <w:r>
              <w:rPr>
                <w:rFonts w:ascii="Manrope" w:cs="Manrope" w:eastAsia="Manrope" w:hAnsi="Manrope"/>
                <w:b/>
                <w:bCs/>
                <w:color w:val="315BFF"/>
                <w:sz w:val="120"/>
                <w:szCs w:val="120"/>
              </w:rPr>
              <w:t xml:space="preserve">04</w:t>
            </w:r>
          </w:p>
        </w:tc>
        <w:tc>
          <w:tcPr>
            <w:tcW w:type="dxa" w:w="360"/>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line="20" w:lineRule="exact"/>
            </w:pPr>
            <w:r>
              <w:rPr>
                <w:sz w:val="2"/>
                <w:szCs w:val="2"/>
              </w:rPr>
              <w:t xml:space="preserve"/>
            </w:r>
          </w:p>
        </w:tc>
      </w:tr>
      <w:tr>
        <w:trPr>
          <w:trHeight w:val="260" w:hRule="exact"/>
          <w:cantSplit/>
        </w:trPr>
        <w:tc>
          <w:tcPr>
            <w:tcW w:type="dxa" w:w="360"/>
            <w:tcBorders>
              <w:top w:val="none" w:color="FFFFFF" w:sz="0"/>
              <w:left w:val="single" w:color="315BFF" w:sz="20"/>
              <w:bottom w:val="single" w:color="315BFF" w:sz="20"/>
              <w:right w:val="none" w:color="FFFFFF" w:sz="0"/>
            </w:tcBorders>
            <w:tcMar>
              <w:top w:type="dxa" w:w="0"/>
              <w:left w:type="dxa" w:w="0"/>
              <w:bottom w:type="dxa" w:w="0"/>
              <w:right w:type="dxa" w:w="0"/>
            </w:tcMar>
          </w:tcPr>
          <w:p>
            <w:pPr>
              <w:spacing w:after="0" w:line="20" w:lineRule="exact"/>
            </w:pPr>
            <w:r>
              <w:rPr>
                <w:sz w:val="2"/>
                <w:szCs w:val="2"/>
              </w:rPr>
              <w:t xml:space="preserve"/>
            </w:r>
          </w:p>
        </w:tc>
        <w:tc>
          <w:tcPr>
            <w:tcW w:type="dxa" w:w="1880"/>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line="20" w:lineRule="exact"/>
            </w:pPr>
            <w:r>
              <w:rPr>
                <w:sz w:val="2"/>
                <w:szCs w:val="2"/>
              </w:rPr>
              <w:t xml:space="preserve"/>
            </w:r>
          </w:p>
        </w:tc>
        <w:tc>
          <w:tcPr>
            <w:tcW w:type="dxa" w:w="360"/>
            <w:tcBorders>
              <w:top w:val="none" w:color="FFFFFF" w:sz="0"/>
              <w:left w:val="none" w:color="FFFFFF" w:sz="0"/>
              <w:bottom w:val="single" w:color="315BFF" w:sz="20"/>
              <w:right w:val="single" w:color="315BFF" w:sz="20"/>
            </w:tcBorders>
            <w:tcMar>
              <w:top w:type="dxa" w:w="0"/>
              <w:left w:type="dxa" w:w="0"/>
              <w:bottom w:type="dxa" w:w="0"/>
              <w:right w:type="dxa" w:w="0"/>
            </w:tcMar>
          </w:tcPr>
          <w:p>
            <w:pPr>
              <w:spacing w:after="0" w:line="20" w:lineRule="exact"/>
            </w:pPr>
            <w:r>
              <w:rPr>
                <w:sz w:val="2"/>
                <w:szCs w:val="2"/>
              </w:rPr>
              <w:t xml:space="preserve"/>
            </w:r>
          </w:p>
        </w:tc>
      </w:tr>
    </w:tbl>
    <w:p>
      <w:pPr>
        <w:pStyle w:val="Heading1"/>
        <w:keepNext/>
        <w:keepLines/>
        <w:widowControl/>
        <w:spacing w:after="200" w:before="360"/>
      </w:pPr>
      <w:r>
        <w:rPr>
          <w:rFonts w:ascii="Manrope" w:hAnsi="Manrope" w:eastAsia="Manrope" w:cs="Manrope"/>
          <w:color w:val="101828"/>
        </w:rPr>
        <w:t xml:space="preserve">Sales and Commercial Experience</w:t>
      </w:r>
    </w:p>
    <w:p>
      <w:pPr>
        <w:pBdr>
          <w:bottom w:val="single" w:color="3FAF8F" w:sz="18" w:space="1"/>
        </w:pBdr>
        <w:spacing w:after="300"/>
        <w:ind w:right="7200"/>
      </w:pPr>
    </w:p>
    <w:p>
      <w:pPr>
        <w:spacing w:after="400" w:line="380"/>
      </w:pPr>
      <w:r>
        <w:rPr>
          <w:rFonts w:ascii="Source Serif 4" w:cs="Source Serif 4" w:eastAsia="Source Serif 4" w:hAnsi="Source Serif 4"/>
          <w:i/>
          <w:iCs/>
          <w:color w:val="101828"/>
          <w:sz w:val="30"/>
          <w:szCs w:val="30"/>
        </w:rPr>
        <w:t xml:space="preserve">How the brand becomes real in sales conversations, proposals, pricing and agency partnerships.</w:t>
      </w:r>
    </w:p>
    <w:p>
      <w:pPr>
        <w:keepNext/>
        <w:spacing w:after="40" w:before="360"/>
      </w:pPr>
      <w:r>
        <w:rPr>
          <w:rFonts w:ascii="Inter" w:hAnsi="Inter" w:eastAsia="Inter" w:cs="Inter"/>
          <w:b/>
          <w:bCs/>
          <w:color w:val="315BFF"/>
          <w:spacing w:val="20"/>
          <w:sz w:val="16"/>
          <w:szCs w:val="16"/>
        </w:rPr>
        <w:t xml:space="preserve">4.1 CUSTOMER JOURNEY</w:t>
      </w:r>
    </w:p>
    <w:p>
      <w:pPr>
        <w:pStyle w:val="Heading2"/>
        <w:keepNext/>
        <w:keepLines/>
        <w:widowControl/>
        <w:spacing w:before="0"/>
      </w:pPr>
      <w:r>
        <w:rPr>
          <w:rFonts w:ascii="Manrope" w:hAnsi="Manrope" w:eastAsia="Manrope" w:cs="Manrope"/>
          <w:color w:val="101828"/>
        </w:rPr>
        <w:t xml:space="preserve">The sales process should demonstrate the delivery model</w:t>
      </w:r>
    </w:p>
    <w:p>
      <w:pPr>
        <w:spacing w:after="140"/>
      </w:pPr>
      <w:r>
        <w:rPr>
          <w:rFonts w:ascii="Inter" w:hAnsi="Inter" w:eastAsia="Inter" w:cs="Inter"/>
          <w:color w:val="101828"/>
        </w:rPr>
        <w:t xml:space="preserve">A prospect should experience ADelier's clarity, preparation and commercial judgment before signing. The sales process is the first proof of the brand.</w:t>
      </w:r>
    </w:p>
    <w:tbl>
      <w:tblPr>
        <w:tblW w:type="dxa" w:w="9360"/>
        <w:tblBorders>
          <w:top w:val="nil" w:color="D9DEE8" w:sz="4"/>
          <w:left w:val="none" w:color="FFFFFF" w:sz="0"/>
          <w:bottom w:val="single" w:color="D9DEE8" w:sz="5" w:space="0"/>
          <w:right w:val="none" w:color="FFFFFF" w:sz="0"/>
          <w:insideH w:val="single" w:color="D9DEE8" w:sz="5" w:space="0"/>
          <w:insideV w:val="nil" w:color="FFFFFF" w:sz="0"/>
          <w:start w:val="nil"/>
          <w:end w:val="nil"/>
        </w:tblBorders>
        <w:tblLayout w:type="fixed"/>
      </w:tblPr>
      <w:tblGrid>
        <w:gridCol w:w="1217"/>
        <w:gridCol w:w="2527"/>
        <w:gridCol w:w="2995"/>
        <w:gridCol w:w="2621"/>
      </w:tblGrid>
      <w:tr>
        <w:trPr>
          <w:cantSplit/>
          <w:tblHeader w:val="true"/>
        </w:trPr>
        <w:tc>
          <w:tcPr>
            <w:tcW w:type="dxa" w:w="1217"/>
            <w:shd w:fill="101828" w:color="auto" w:val="clear"/>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FFFFFF"/>
                <w:sz w:val="18"/>
                <w:szCs w:val="18"/>
              </w:rPr>
              <w:t xml:space="preserve">Stage</w:t>
            </w:r>
          </w:p>
        </w:tc>
        <w:tc>
          <w:tcPr>
            <w:tcW w:type="dxa" w:w="2527"/>
            <w:shd w:fill="101828" w:color="auto" w:val="clear"/>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FFFFFF"/>
                <w:sz w:val="18"/>
                <w:szCs w:val="18"/>
              </w:rPr>
              <w:t xml:space="preserve">Client question</w:t>
            </w:r>
          </w:p>
        </w:tc>
        <w:tc>
          <w:tcPr>
            <w:tcW w:type="dxa" w:w="2995"/>
            <w:shd w:fill="101828" w:color="auto" w:val="clear"/>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FFFFFF"/>
                <w:sz w:val="18"/>
                <w:szCs w:val="18"/>
              </w:rPr>
              <w:t xml:space="preserve">ADelier behavior</w:t>
            </w:r>
          </w:p>
        </w:tc>
        <w:tc>
          <w:tcPr>
            <w:tcW w:type="dxa" w:w="2621"/>
            <w:shd w:fill="101828" w:color="auto" w:val="clear"/>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FFFFFF"/>
                <w:sz w:val="18"/>
                <w:szCs w:val="18"/>
              </w:rPr>
              <w:t xml:space="preserve">Output</w:t>
            </w:r>
          </w:p>
        </w:tc>
      </w:tr>
      <w:tr>
        <w:trPr>
          <w:cantSplit/>
          <w:tblHeader w:val="false"/>
        </w:trPr>
        <w:tc>
          <w:tcPr>
            <w:tcW w:type="dxa" w:w="1217"/>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101828"/>
                <w:sz w:val="18"/>
                <w:szCs w:val="18"/>
              </w:rPr>
              <w:t xml:space="preserve">Discover</w:t>
            </w:r>
          </w:p>
        </w:tc>
        <w:tc>
          <w:tcPr>
            <w:tcW w:type="dxa" w:w="2527"/>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Is this relevant to our situation?</w:t>
            </w:r>
          </w:p>
        </w:tc>
        <w:tc>
          <w:tcPr>
            <w:tcW w:type="dxa" w:w="2995"/>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Lead with the audience problem and a specific pathway</w:t>
            </w:r>
          </w:p>
        </w:tc>
        <w:tc>
          <w:tcPr>
            <w:tcW w:type="dxa" w:w="2621"/>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Clear proposition and next step</w:t>
            </w:r>
          </w:p>
        </w:tc>
      </w:tr>
      <w:tr>
        <w:trPr>
          <w:cantSplit/>
          <w:tblHeader w:val="false"/>
        </w:trPr>
        <w:tc>
          <w:tcPr>
            <w:tcW w:type="dxa" w:w="1217"/>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101828"/>
                <w:sz w:val="18"/>
                <w:szCs w:val="18"/>
              </w:rPr>
              <w:t xml:space="preserve">Qualify</w:t>
            </w:r>
          </w:p>
        </w:tc>
        <w:tc>
          <w:tcPr>
            <w:tcW w:type="dxa" w:w="2527"/>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Are we a good fit for each other?</w:t>
            </w:r>
          </w:p>
        </w:tc>
        <w:tc>
          <w:tcPr>
            <w:tcW w:type="dxa" w:w="2995"/>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Ask about trigger, value at stake, data, ownership, urgency and constraints</w:t>
            </w:r>
          </w:p>
        </w:tc>
        <w:tc>
          <w:tcPr>
            <w:tcW w:type="dxa" w:w="2621"/>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Fit decision and discovery plan</w:t>
            </w:r>
          </w:p>
        </w:tc>
      </w:tr>
      <w:tr>
        <w:trPr>
          <w:cantSplit/>
          <w:tblHeader w:val="false"/>
        </w:trPr>
        <w:tc>
          <w:tcPr>
            <w:tcW w:type="dxa" w:w="1217"/>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101828"/>
                <w:sz w:val="18"/>
                <w:szCs w:val="18"/>
              </w:rPr>
              <w:t xml:space="preserve">Diagnose</w:t>
            </w:r>
          </w:p>
        </w:tc>
        <w:tc>
          <w:tcPr>
            <w:tcW w:type="dxa" w:w="2527"/>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What is actually causing the problem?</w:t>
            </w:r>
          </w:p>
        </w:tc>
        <w:tc>
          <w:tcPr>
            <w:tcW w:type="dxa" w:w="2995"/>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Review evidence before recommending production or training</w:t>
            </w:r>
          </w:p>
        </w:tc>
        <w:tc>
          <w:tcPr>
            <w:tcW w:type="dxa" w:w="2621"/>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Problem definition and hypotheses</w:t>
            </w:r>
          </w:p>
        </w:tc>
      </w:tr>
      <w:tr>
        <w:trPr>
          <w:cantSplit/>
          <w:tblHeader w:val="false"/>
        </w:trPr>
        <w:tc>
          <w:tcPr>
            <w:tcW w:type="dxa" w:w="1217"/>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101828"/>
                <w:sz w:val="18"/>
                <w:szCs w:val="18"/>
              </w:rPr>
              <w:t xml:space="preserve">Design</w:t>
            </w:r>
          </w:p>
        </w:tc>
        <w:tc>
          <w:tcPr>
            <w:tcW w:type="dxa" w:w="2527"/>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What should we do, in what order and with whom?</w:t>
            </w:r>
          </w:p>
        </w:tc>
        <w:tc>
          <w:tcPr>
            <w:tcW w:type="dxa" w:w="2995"/>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Choose a bounded offer, delivery mode, measure and governance</w:t>
            </w:r>
          </w:p>
        </w:tc>
        <w:tc>
          <w:tcPr>
            <w:tcW w:type="dxa" w:w="2621"/>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Scope, roadmap and commercial model</w:t>
            </w:r>
          </w:p>
        </w:tc>
      </w:tr>
      <w:tr>
        <w:trPr>
          <w:cantSplit/>
          <w:tblHeader w:val="false"/>
        </w:trPr>
        <w:tc>
          <w:tcPr>
            <w:tcW w:type="dxa" w:w="1217"/>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101828"/>
                <w:sz w:val="18"/>
                <w:szCs w:val="18"/>
              </w:rPr>
              <w:t xml:space="preserve">Commit</w:t>
            </w:r>
          </w:p>
        </w:tc>
        <w:tc>
          <w:tcPr>
            <w:tcW w:type="dxa" w:w="2527"/>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Can we trust the relationship and economics?</w:t>
            </w:r>
          </w:p>
        </w:tc>
        <w:tc>
          <w:tcPr>
            <w:tcW w:type="dxa" w:w="2995"/>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Make account protection, quality, AI, ownership and assumptions explicit</w:t>
            </w:r>
          </w:p>
        </w:tc>
        <w:tc>
          <w:tcPr>
            <w:tcW w:type="dxa" w:w="2621"/>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Proposal, agreement and launch checklist</w:t>
            </w:r>
          </w:p>
        </w:tc>
      </w:tr>
      <w:tr>
        <w:trPr>
          <w:cantSplit/>
          <w:tblHeader w:val="false"/>
        </w:trPr>
        <w:tc>
          <w:tcPr>
            <w:tcW w:type="dxa" w:w="1217"/>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101828"/>
                <w:sz w:val="18"/>
                <w:szCs w:val="18"/>
              </w:rPr>
              <w:t xml:space="preserve">Deliver</w:t>
            </w:r>
          </w:p>
        </w:tc>
        <w:tc>
          <w:tcPr>
            <w:tcW w:type="dxa" w:w="2527"/>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Will the work be useful and reliable?</w:t>
            </w:r>
          </w:p>
        </w:tc>
        <w:tc>
          <w:tcPr>
            <w:tcW w:type="dxa" w:w="2995"/>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Maintain cadence, decisions, review gates and transparent status</w:t>
            </w:r>
          </w:p>
        </w:tc>
        <w:tc>
          <w:tcPr>
            <w:tcW w:type="dxa" w:w="2621"/>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Implementable outputs and progress evidence</w:t>
            </w:r>
          </w:p>
        </w:tc>
      </w:tr>
      <w:tr>
        <w:trPr>
          <w:cantSplit/>
          <w:tblHeader w:val="false"/>
        </w:trPr>
        <w:tc>
          <w:tcPr>
            <w:tcW w:type="dxa" w:w="1217"/>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101828"/>
                <w:sz w:val="18"/>
                <w:szCs w:val="18"/>
              </w:rPr>
              <w:t xml:space="preserve">Enable</w:t>
            </w:r>
          </w:p>
        </w:tc>
        <w:tc>
          <w:tcPr>
            <w:tcW w:type="dxa" w:w="2527"/>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Can our team sustain or repeat this?</w:t>
            </w:r>
          </w:p>
        </w:tc>
        <w:tc>
          <w:tcPr>
            <w:tcW w:type="dxa" w:w="2995"/>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Teach through live work, tools, practice and ownership transfer</w:t>
            </w:r>
          </w:p>
        </w:tc>
        <w:tc>
          <w:tcPr>
            <w:tcW w:type="dxa" w:w="2621"/>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Playbooks, trained owners and standards</w:t>
            </w:r>
          </w:p>
        </w:tc>
      </w:tr>
      <w:tr>
        <w:trPr>
          <w:cantSplit/>
          <w:tblHeader w:val="false"/>
        </w:trPr>
        <w:tc>
          <w:tcPr>
            <w:tcW w:type="dxa" w:w="1217"/>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101828"/>
                <w:sz w:val="18"/>
                <w:szCs w:val="18"/>
              </w:rPr>
              <w:t xml:space="preserve">Prove</w:t>
            </w:r>
          </w:p>
        </w:tc>
        <w:tc>
          <w:tcPr>
            <w:tcW w:type="dxa" w:w="2527"/>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Did the work create value?</w:t>
            </w:r>
          </w:p>
        </w:tc>
        <w:tc>
          <w:tcPr>
            <w:tcW w:type="dxa" w:w="2995"/>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Compare against baseline and document context</w:t>
            </w:r>
          </w:p>
        </w:tc>
        <w:tc>
          <w:tcPr>
            <w:tcW w:type="dxa" w:w="2621"/>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Results review and case evidence</w:t>
            </w:r>
          </w:p>
        </w:tc>
      </w:tr>
      <w:tr>
        <w:trPr>
          <w:cantSplit/>
          <w:tblHeader w:val="false"/>
        </w:trPr>
        <w:tc>
          <w:tcPr>
            <w:tcW w:type="dxa" w:w="1217"/>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101828"/>
                <w:sz w:val="18"/>
                <w:szCs w:val="18"/>
              </w:rPr>
              <w:t xml:space="preserve">Expand</w:t>
            </w:r>
          </w:p>
        </w:tc>
        <w:tc>
          <w:tcPr>
            <w:tcW w:type="dxa" w:w="2527"/>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Where should the system go next?</w:t>
            </w:r>
          </w:p>
        </w:tc>
        <w:tc>
          <w:tcPr>
            <w:tcW w:type="dxa" w:w="2995"/>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Scale only after the method and economics are credible</w:t>
            </w:r>
          </w:p>
        </w:tc>
        <w:tc>
          <w:tcPr>
            <w:tcW w:type="dxa" w:w="2621"/>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Portfolio, channel or capability roadmap</w:t>
            </w:r>
          </w:p>
        </w:tc>
      </w:tr>
    </w:tbl>
    <w:p>
      <w:pPr>
        <w:spacing w:after="160" w:before="0"/>
      </w:pPr>
    </w:p>
    <w:p>
      <w:pPr>
        <w:pStyle w:val="Heading3"/>
        <w:keepNext/>
        <w:keepLines/>
        <w:widowControl/>
      </w:pPr>
      <w:r>
        <w:rPr>
          <w:rFonts w:ascii="Inter" w:hAnsi="Inter" w:eastAsia="Inter" w:cs="Inter"/>
          <w:color w:val="315BFF"/>
        </w:rPr>
        <w:t xml:space="preserve">First-response standard</w:t>
      </w:r>
    </w:p>
    <w:p>
      <w:pPr>
        <w:spacing w:after="140"/>
      </w:pPr>
      <w:r>
        <w:rPr>
          <w:rFonts w:ascii="Inter" w:hAnsi="Inter" w:eastAsia="Inter" w:cs="Inter"/>
          <w:color w:val="101828"/>
        </w:rPr>
        <w:t xml:space="preserve">Every qualified inquiry receives, within one business day: a short restatement of the apparent need, the most relevant next step, the information required before the conversation, and the name and role of the person who will lead it. Do not send a generic capabilities deck before understanding the buying situation.</w:t>
      </w:r>
    </w:p>
    <w:p>
      <w:pPr>
        <w:pStyle w:val="Heading3"/>
        <w:keepNext/>
        <w:keepLines/>
        <w:widowControl/>
      </w:pPr>
      <w:r>
        <w:rPr>
          <w:rFonts w:ascii="Inter" w:hAnsi="Inter" w:eastAsia="Inter" w:cs="Inter"/>
          <w:color w:val="315BFF"/>
        </w:rPr>
        <w:t>Standalone training pathway</w:t>
      </w:r>
    </w:p>
    <w:p>
      <w:pPr>
        <w:spacing w:after="140"/>
      </w:pPr>
      <w:r>
        <w:rPr>
          <w:rFonts w:ascii="Inter" w:hAnsi="Inter" w:eastAsia="Inter" w:cs="Inter"/>
          <w:color w:val="101828"/>
        </w:rPr>
        <w:t>Training has its own sales path because the buyer is purchasing capability, applied outputs and organizational follow-through rather than production capacity.</w:t>
      </w:r>
    </w:p>
    <w:tbl>
      <w:tblPr>
        <w:tblW w:type="dxa" w:w="9360"/>
        <w:tblBorders>
          <w:top w:val="nil" w:color="D9DEE8" w:sz="4"/>
          <w:left w:val="none" w:color="FFFFFF" w:sz="0"/>
          <w:bottom w:val="single" w:color="D9DEE8" w:sz="5" w:space="0"/>
          <w:right w:val="none" w:color="FFFFFF" w:sz="0"/>
          <w:insideH w:val="single" w:color="D9DEE8" w:sz="5" w:space="0"/>
          <w:insideV w:val="nil" w:color="FFFFFF" w:sz="0"/>
          <w:start w:val="nil"/>
          <w:end w:val="nil"/>
        </w:tblBorders>
        <w:tblLayout w:type="fixed"/>
      </w:tblPr>
      <w:tblGrid>
        <w:gridCol w:w="1217"/>
        <w:gridCol w:w="2527"/>
        <w:gridCol w:w="2995"/>
        <w:gridCol w:w="2621"/>
      </w:tblGrid>
      <w:tr>
        <w:trPr>
          <w:cantSplit/>
          <w:tblHeader w:val="true"/>
        </w:trPr>
        <w:tc>
          <w:tcPr>
            <w:tcW w:type="dxa" w:w="1217"/>
            <w:shd w:fill="101828" w:color="auto" w:val="clear"/>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FFFFFF"/>
                <w:sz w:val="18"/>
                <w:szCs w:val="18"/>
              </w:rPr>
              <w:t>Stage</w:t>
            </w:r>
          </w:p>
        </w:tc>
        <w:tc>
          <w:tcPr>
            <w:tcW w:type="dxa" w:w="2527"/>
            <w:shd w:fill="101828" w:color="auto" w:val="clear"/>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FFFFFF"/>
                <w:sz w:val="18"/>
                <w:szCs w:val="18"/>
              </w:rPr>
              <w:t>Buyer question</w:t>
            </w:r>
          </w:p>
        </w:tc>
        <w:tc>
          <w:tcPr>
            <w:tcW w:type="dxa" w:w="2995"/>
            <w:shd w:fill="101828" w:color="auto" w:val="clear"/>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FFFFFF"/>
                <w:sz w:val="18"/>
                <w:szCs w:val="18"/>
              </w:rPr>
              <w:t>ADelier behavior</w:t>
            </w:r>
          </w:p>
        </w:tc>
        <w:tc>
          <w:tcPr>
            <w:tcW w:type="dxa" w:w="2621"/>
            <w:shd w:fill="101828" w:color="auto" w:val="clear"/>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FFFFFF"/>
                <w:sz w:val="18"/>
                <w:szCs w:val="18"/>
              </w:rPr>
              <w:t>Output</w:t>
            </w:r>
          </w:p>
        </w:tc>
      </w:tr>
      <w:tr>
        <w:trPr>
          <w:cantSplit/>
          <w:tblHeader w:val="false"/>
        </w:trPr>
        <w:tc>
          <w:tcPr>
            <w:tcW w:type="dxa" w:w="1217"/>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101828"/>
                <w:sz w:val="18"/>
                <w:szCs w:val="18"/>
              </w:rPr>
              <w:t>Discover</w:t>
            </w:r>
          </w:p>
        </w:tc>
        <w:tc>
          <w:tcPr>
            <w:tcW w:type="dxa" w:w="2527"/>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Is this relevant to our team?</w:t>
            </w:r>
          </w:p>
        </w:tc>
        <w:tc>
          <w:tcPr>
            <w:tcW w:type="dxa" w:w="2995"/>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Lead with the capability or performance problem</w:t>
            </w:r>
          </w:p>
        </w:tc>
        <w:tc>
          <w:tcPr>
            <w:tcW w:type="dxa" w:w="2621"/>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Relevant program path</w:t>
            </w:r>
          </w:p>
        </w:tc>
      </w:tr>
      <w:tr>
        <w:trPr>
          <w:cantSplit/>
          <w:tblHeader w:val="false"/>
        </w:trPr>
        <w:tc>
          <w:tcPr>
            <w:tcW w:type="dxa" w:w="1217"/>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101828"/>
                <w:sz w:val="18"/>
                <w:szCs w:val="18"/>
              </w:rPr>
              <w:t>Diagnose</w:t>
            </w:r>
          </w:p>
        </w:tc>
        <w:tc>
          <w:tcPr>
            <w:tcW w:type="dxa" w:w="2527"/>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What must improve?</w:t>
            </w:r>
          </w:p>
        </w:tc>
        <w:tc>
          <w:tcPr>
            <w:tcW w:type="dxa" w:w="2995"/>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Assess roles, workflows, examples and current quality</w:t>
            </w:r>
          </w:p>
        </w:tc>
        <w:tc>
          <w:tcPr>
            <w:tcW w:type="dxa" w:w="2621"/>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Program brief and baseline</w:t>
            </w:r>
          </w:p>
        </w:tc>
      </w:tr>
      <w:tr>
        <w:trPr>
          <w:cantSplit/>
          <w:tblHeader w:val="false"/>
        </w:trPr>
        <w:tc>
          <w:tcPr>
            <w:tcW w:type="dxa" w:w="1217"/>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101828"/>
                <w:sz w:val="18"/>
                <w:szCs w:val="18"/>
              </w:rPr>
              <w:t>Design</w:t>
            </w:r>
          </w:p>
        </w:tc>
        <w:tc>
          <w:tcPr>
            <w:tcW w:type="dxa" w:w="2527"/>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What should the team learn and apply?</w:t>
            </w:r>
          </w:p>
        </w:tc>
        <w:tc>
          <w:tcPr>
            <w:tcW w:type="dxa" w:w="2995"/>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Select outcomes, modules, live work and assessment</w:t>
            </w:r>
          </w:p>
        </w:tc>
        <w:tc>
          <w:tcPr>
            <w:tcW w:type="dxa" w:w="2621"/>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Fixed program scope</w:t>
            </w:r>
          </w:p>
        </w:tc>
      </w:tr>
      <w:tr>
        <w:trPr>
          <w:cantSplit/>
          <w:tblHeader w:val="false"/>
        </w:trPr>
        <w:tc>
          <w:tcPr>
            <w:tcW w:type="dxa" w:w="1217"/>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101828"/>
                <w:sz w:val="18"/>
                <w:szCs w:val="18"/>
              </w:rPr>
              <w:t>Prepare</w:t>
            </w:r>
          </w:p>
        </w:tc>
        <w:tc>
          <w:tcPr>
            <w:tcW w:type="dxa" w:w="2527"/>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What must be ready?</w:t>
            </w:r>
          </w:p>
        </w:tc>
        <w:tc>
          <w:tcPr>
            <w:tcW w:type="dxa" w:w="2995"/>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Collect examples, products, access and pre-work</w:t>
            </w:r>
          </w:p>
        </w:tc>
        <w:tc>
          <w:tcPr>
            <w:tcW w:type="dxa" w:w="2621"/>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Participant and facilitator readiness</w:t>
            </w:r>
          </w:p>
        </w:tc>
      </w:tr>
      <w:tr>
        <w:trPr>
          <w:cantSplit/>
          <w:tblHeader w:val="false"/>
        </w:trPr>
        <w:tc>
          <w:tcPr>
            <w:tcW w:type="dxa" w:w="1217"/>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101828"/>
                <w:sz w:val="18"/>
                <w:szCs w:val="18"/>
              </w:rPr>
              <w:t>Deliver</w:t>
            </w:r>
          </w:p>
        </w:tc>
        <w:tc>
          <w:tcPr>
            <w:tcW w:type="dxa" w:w="2527"/>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Will this change real work?</w:t>
            </w:r>
          </w:p>
        </w:tc>
        <w:tc>
          <w:tcPr>
            <w:tcW w:type="dxa" w:w="2995"/>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Teach through live examples, practice and feedback</w:t>
            </w:r>
          </w:p>
        </w:tc>
        <w:tc>
          <w:tcPr>
            <w:tcW w:type="dxa" w:w="2621"/>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Improved outputs and tools</w:t>
            </w:r>
          </w:p>
        </w:tc>
      </w:tr>
      <w:tr>
        <w:trPr>
          <w:cantSplit/>
          <w:tblHeader w:val="false"/>
        </w:trPr>
        <w:tc>
          <w:tcPr>
            <w:tcW w:type="dxa" w:w="1217"/>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101828"/>
                <w:sz w:val="18"/>
                <w:szCs w:val="18"/>
              </w:rPr>
              <w:t>Validate</w:t>
            </w:r>
          </w:p>
        </w:tc>
        <w:tc>
          <w:tcPr>
            <w:tcW w:type="dxa" w:w="2527"/>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Can participants apply the method?</w:t>
            </w:r>
          </w:p>
        </w:tc>
        <w:tc>
          <w:tcPr>
            <w:tcW w:type="dxa" w:w="2995"/>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Review work against the shared standard</w:t>
            </w:r>
          </w:p>
        </w:tc>
        <w:tc>
          <w:tcPr>
            <w:tcW w:type="dxa" w:w="2621"/>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Capability and quality evidence</w:t>
            </w:r>
          </w:p>
        </w:tc>
      </w:tr>
      <w:tr>
        <w:trPr>
          <w:cantSplit/>
          <w:tblHeader w:val="false"/>
        </w:trPr>
        <w:tc>
          <w:tcPr>
            <w:tcW w:type="dxa" w:w="1217"/>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101828"/>
                <w:sz w:val="18"/>
                <w:szCs w:val="18"/>
              </w:rPr>
              <w:t>Sustain</w:t>
            </w:r>
          </w:p>
        </w:tc>
        <w:tc>
          <w:tcPr>
            <w:tcW w:type="dxa" w:w="2527"/>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Will the behavior continue?</w:t>
            </w:r>
          </w:p>
        </w:tc>
        <w:tc>
          <w:tcPr>
            <w:tcW w:type="dxa" w:w="2995"/>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Assign owner, action plan and follow-up</w:t>
            </w:r>
          </w:p>
        </w:tc>
        <w:tc>
          <w:tcPr>
            <w:tcW w:type="dxa" w:w="2621"/>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30-day implementation review</w:t>
            </w:r>
          </w:p>
        </w:tc>
      </w:tr>
    </w:tbl>
    <w:p>
      <w:pPr>
        <w:keepNext/>
        <w:spacing w:after="40" w:before="360"/>
      </w:pPr>
      <w:r>
        <w:rPr>
          <w:rFonts w:ascii="Inter" w:hAnsi="Inter" w:eastAsia="Inter" w:cs="Inter"/>
          <w:b/>
          <w:bCs/>
          <w:color w:val="315BFF"/>
          <w:spacing w:val="20"/>
          <w:sz w:val="16"/>
          <w:szCs w:val="16"/>
        </w:rPr>
        <w:t xml:space="preserve">4.2 DISCOVERY AND QUALIFICATION</w:t>
      </w:r>
    </w:p>
    <w:p>
      <w:pPr>
        <w:pStyle w:val="Heading2"/>
        <w:keepNext/>
        <w:keepLines/>
        <w:widowControl/>
        <w:spacing w:before="0"/>
      </w:pPr>
      <w:r>
        <w:rPr>
          <w:rFonts w:ascii="Manrope" w:hAnsi="Manrope" w:eastAsia="Manrope" w:cs="Manrope"/>
          <w:color w:val="101828"/>
        </w:rPr>
        <w:t xml:space="preserve">Qualify for value, fit and delivery reality</w:t>
      </w:r>
    </w:p>
    <w:p>
      <w:pPr>
        <w:pStyle w:val="Heading3"/>
        <w:keepNext/>
        <w:keepLines/>
        <w:widowControl/>
      </w:pPr>
      <w:r>
        <w:rPr>
          <w:rFonts w:ascii="Inter" w:hAnsi="Inter" w:eastAsia="Inter" w:cs="Inter"/>
          <w:color w:val="315BFF"/>
        </w:rPr>
        <w:t xml:space="preserve">Core discovery questions</w:t>
      </w:r>
    </w:p>
    <w:tbl>
      <w:tblPr>
        <w:tblW w:type="dxa" w:w="9360"/>
        <w:tblBorders>
          <w:top w:val="nil" w:color="D9DEE8" w:sz="4"/>
          <w:left w:val="none" w:color="FFFFFF" w:sz="0"/>
          <w:bottom w:val="single" w:color="D9DEE8" w:sz="5" w:space="0"/>
          <w:right w:val="none" w:color="FFFFFF" w:sz="0"/>
          <w:insideH w:val="single" w:color="D9DEE8" w:sz="5" w:space="0"/>
          <w:insideV w:val="nil" w:color="FFFFFF" w:sz="0"/>
          <w:start w:val="nil"/>
          <w:end w:val="nil"/>
        </w:tblBorders>
        <w:tblLayout w:type="fixed"/>
      </w:tblPr>
      <w:tblGrid>
        <w:gridCol w:w="2246"/>
        <w:gridCol w:w="7114"/>
      </w:tblGrid>
      <w:tr>
        <w:trPr>
          <w:cantSplit/>
          <w:tblHeader w:val="true"/>
        </w:trPr>
        <w:tc>
          <w:tcPr>
            <w:tcW w:type="dxa" w:w="2246"/>
            <w:shd w:fill="101828" w:color="auto" w:val="clear"/>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FFFFFF"/>
                <w:sz w:val="18"/>
                <w:szCs w:val="18"/>
              </w:rPr>
              <w:t xml:space="preserve">Area</w:t>
            </w:r>
          </w:p>
        </w:tc>
        <w:tc>
          <w:tcPr>
            <w:tcW w:type="dxa" w:w="7114"/>
            <w:shd w:fill="101828" w:color="auto" w:val="clear"/>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FFFFFF"/>
                <w:sz w:val="18"/>
                <w:szCs w:val="18"/>
              </w:rPr>
              <w:t xml:space="preserve">Questions</w:t>
            </w:r>
          </w:p>
        </w:tc>
      </w:tr>
      <w:tr>
        <w:trPr>
          <w:cantSplit/>
          <w:tblHeader w:val="false"/>
        </w:trPr>
        <w:tc>
          <w:tcPr>
            <w:tcW w:type="dxa" w:w="2246"/>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101828"/>
                <w:sz w:val="18"/>
                <w:szCs w:val="18"/>
              </w:rPr>
              <w:t xml:space="preserve">Business context</w:t>
            </w:r>
          </w:p>
        </w:tc>
        <w:tc>
          <w:tcPr>
            <w:tcW w:type="dxa" w:w="7114"/>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What changed or created urgency? Which marketplace, products and geographies are in scope? What result matters most in the next 90 to 180 days? What is the value at stake? What other initiatives could affect the same result?</w:t>
            </w:r>
          </w:p>
        </w:tc>
      </w:tr>
      <w:tr>
        <w:trPr>
          <w:cantSplit/>
          <w:tblHeader w:val="false"/>
        </w:trPr>
        <w:tc>
          <w:tcPr>
            <w:tcW w:type="dxa" w:w="2246"/>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101828"/>
                <w:sz w:val="18"/>
                <w:szCs w:val="18"/>
              </w:rPr>
              <w:t xml:space="preserve">Customer and positioning</w:t>
            </w:r>
          </w:p>
        </w:tc>
        <w:tc>
          <w:tcPr>
            <w:tcW w:type="dxa" w:w="7114"/>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Who is the intended shopper and what problem does the product solve? What is the current primary reason to choose? Which claims have evidence and approval? Where do shoppers hesitate or choose competitors?</w:t>
            </w:r>
          </w:p>
        </w:tc>
      </w:tr>
      <w:tr>
        <w:trPr>
          <w:cantSplit/>
          <w:tblHeader w:val="false"/>
        </w:trPr>
        <w:tc>
          <w:tcPr>
            <w:tcW w:type="dxa" w:w="2246"/>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101828"/>
                <w:sz w:val="18"/>
                <w:szCs w:val="18"/>
              </w:rPr>
              <w:t xml:space="preserve">Execution and operating model</w:t>
            </w:r>
          </w:p>
        </w:tc>
        <w:tc>
          <w:tcPr>
            <w:tcW w:type="dxa" w:w="7114"/>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Who owns marketplace strategy, content, media, operations and approval? What is internal, agency-led or platform-led today? Where does work slow down or require rework? Which tools, data and access are available?</w:t>
            </w:r>
          </w:p>
        </w:tc>
      </w:tr>
      <w:tr>
        <w:trPr>
          <w:cantSplit/>
          <w:tblHeader w:val="false"/>
        </w:trPr>
        <w:tc>
          <w:tcPr>
            <w:tcW w:type="dxa" w:w="2246"/>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101828"/>
                <w:sz w:val="18"/>
                <w:szCs w:val="18"/>
              </w:rPr>
              <w:t xml:space="preserve">Capability and training</w:t>
            </w:r>
          </w:p>
        </w:tc>
        <w:tc>
          <w:tcPr>
            <w:tcW w:type="dxa" w:w="7114"/>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What should the team be able to do independently afterwards? Where is knowledge inconsistent? Which workflows already use AI, and with what controls? Who could become the internal owner?</w:t>
            </w:r>
          </w:p>
        </w:tc>
      </w:tr>
      <w:tr>
        <w:trPr>
          <w:cantSplit/>
          <w:tblHeader w:val="false"/>
        </w:trPr>
        <w:tc>
          <w:tcPr>
            <w:tcW w:type="dxa" w:w="2246"/>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101828"/>
                <w:sz w:val="18"/>
                <w:szCs w:val="18"/>
              </w:rPr>
              <w:t xml:space="preserve">Agency-specific</w:t>
            </w:r>
          </w:p>
        </w:tc>
        <w:tc>
          <w:tcPr>
            <w:tcW w:type="dxa" w:w="7114"/>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Will delivery be white-label, co-branded or visible? Who controls client communication, approval and pricing? Which accounts require protection and for how long? What turnaround and revisions has the agency promised?</w:t>
            </w:r>
          </w:p>
        </w:tc>
      </w:tr>
    </w:tbl>
    <w:p>
      <w:pPr>
        <w:spacing w:after="160" w:before="0"/>
      </w:pPr>
    </w:p>
    <w:p>
      <w:pPr>
        <w:pStyle w:val="Heading3"/>
        <w:keepNext/>
        <w:keepLines/>
        <w:widowControl/>
      </w:pPr>
      <w:r>
        <w:rPr>
          <w:rFonts w:ascii="Inter" w:hAnsi="Inter" w:eastAsia="Inter" w:cs="Inter"/>
          <w:color w:val="315BFF"/>
        </w:rPr>
        <w:t xml:space="preserve">Fit criteria</w:t>
      </w:r>
    </w:p>
    <w:tbl>
      <w:tblPr>
        <w:tblW w:type="dxa" w:w="9360"/>
        <w:tblBorders>
          <w:top w:val="nil" w:color="D9DEE8" w:sz="4"/>
          <w:left w:val="none" w:color="FFFFFF" w:sz="0"/>
          <w:bottom w:val="single" w:color="D9DEE8" w:sz="5" w:space="0"/>
          <w:right w:val="none" w:color="FFFFFF" w:sz="0"/>
          <w:insideH w:val="single" w:color="D9DEE8" w:sz="5" w:space="0"/>
          <w:insideV w:val="nil" w:color="FFFFFF" w:sz="0"/>
          <w:start w:val="nil"/>
          <w:end w:val="nil"/>
        </w:tblBorders>
        <w:tblLayout w:type="fixed"/>
      </w:tblPr>
      <w:tblGrid>
        <w:gridCol w:w="3089"/>
        <w:gridCol w:w="3089"/>
        <w:gridCol w:w="3182"/>
      </w:tblGrid>
      <w:tr>
        <w:trPr>
          <w:cantSplit/>
          <w:tblHeader w:val="true"/>
        </w:trPr>
        <w:tc>
          <w:tcPr>
            <w:tcW w:type="dxa" w:w="3089"/>
            <w:shd w:fill="101828" w:color="auto" w:val="clear"/>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FFFFFF"/>
                <w:sz w:val="18"/>
                <w:szCs w:val="18"/>
              </w:rPr>
              <w:t xml:space="preserve">Strong fit</w:t>
            </w:r>
          </w:p>
        </w:tc>
        <w:tc>
          <w:tcPr>
            <w:tcW w:type="dxa" w:w="3089"/>
            <w:shd w:fill="101828" w:color="auto" w:val="clear"/>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FFFFFF"/>
                <w:sz w:val="18"/>
                <w:szCs w:val="18"/>
              </w:rPr>
              <w:t xml:space="preserve">Watch carefully</w:t>
            </w:r>
          </w:p>
        </w:tc>
        <w:tc>
          <w:tcPr>
            <w:tcW w:type="dxa" w:w="3182"/>
            <w:shd w:fill="101828" w:color="auto" w:val="clear"/>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FFFFFF"/>
                <w:sz w:val="18"/>
                <w:szCs w:val="18"/>
              </w:rPr>
              <w:t xml:space="preserve">Decline or redirect</w:t>
            </w:r>
          </w:p>
        </w:tc>
      </w:tr>
      <w:tr>
        <w:trPr>
          <w:cantSplit/>
          <w:tblHeader w:val="false"/>
        </w:trPr>
        <w:tc>
          <w:tcPr>
            <w:tcW w:type="dxa" w:w="3089"/>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101828"/>
                <w:sz w:val="18"/>
                <w:szCs w:val="18"/>
              </w:rPr>
              <w:t xml:space="preserve">Clear product and responsible client owner</w:t>
            </w:r>
          </w:p>
        </w:tc>
        <w:tc>
          <w:tcPr>
            <w:tcW w:type="dxa" w:w="3089"/>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Broad support wanted but no prioritized products or outcomes</w:t>
            </w:r>
          </w:p>
        </w:tc>
        <w:tc>
          <w:tcPr>
            <w:tcW w:type="dxa" w:w="3182"/>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Requests misleading claims, review manipulation or platform-policy evasion</w:t>
            </w:r>
          </w:p>
        </w:tc>
      </w:tr>
      <w:tr>
        <w:trPr>
          <w:cantSplit/>
          <w:tblHeader w:val="false"/>
        </w:trPr>
        <w:tc>
          <w:tcPr>
            <w:tcW w:type="dxa" w:w="3089"/>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101828"/>
                <w:sz w:val="18"/>
                <w:szCs w:val="18"/>
              </w:rPr>
              <w:t xml:space="preserve">Access to the information required to diagnose</w:t>
            </w:r>
          </w:p>
        </w:tc>
        <w:tc>
          <w:tcPr>
            <w:tcW w:type="dxa" w:w="3089"/>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No reliable baseline but willingness to create one</w:t>
            </w:r>
          </w:p>
        </w:tc>
        <w:tc>
          <w:tcPr>
            <w:tcW w:type="dxa" w:w="3182"/>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Expects guaranteed sales regardless of price, traffic, inventory or competition</w:t>
            </w:r>
          </w:p>
        </w:tc>
      </w:tr>
      <w:tr>
        <w:trPr>
          <w:cantSplit/>
          <w:tblHeader w:val="false"/>
        </w:trPr>
        <w:tc>
          <w:tcPr>
            <w:tcW w:type="dxa" w:w="3089"/>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101828"/>
                <w:sz w:val="18"/>
                <w:szCs w:val="18"/>
              </w:rPr>
              <w:t xml:space="preserve">Willingness to make decisions and implement</w:t>
            </w:r>
          </w:p>
        </w:tc>
        <w:tc>
          <w:tcPr>
            <w:tcW w:type="dxa" w:w="3089"/>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Many approvers with unclear decision rights</w:t>
            </w:r>
          </w:p>
        </w:tc>
        <w:tc>
          <w:tcPr>
            <w:tcW w:type="dxa" w:w="3182"/>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Chooses solely on lowest hourly rate and rejects quality controls</w:t>
            </w:r>
          </w:p>
        </w:tc>
      </w:tr>
      <w:tr>
        <w:trPr>
          <w:cantSplit/>
          <w:tblHeader w:val="false"/>
        </w:trPr>
        <w:tc>
          <w:tcPr>
            <w:tcW w:type="dxa" w:w="3089"/>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101828"/>
                <w:sz w:val="18"/>
                <w:szCs w:val="18"/>
              </w:rPr>
              <w:t xml:space="preserve">Meaningful problem and ability to pay for specialist work</w:t>
            </w:r>
          </w:p>
        </w:tc>
        <w:tc>
          <w:tcPr>
            <w:tcW w:type="dxa" w:w="3089"/>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Small initial scope with potential to repeat</w:t>
            </w:r>
          </w:p>
        </w:tc>
        <w:tc>
          <w:tcPr>
            <w:tcW w:type="dxa" w:w="3182"/>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Requires a capability ADelier cannot yet deliver credibly</w:t>
            </w:r>
          </w:p>
        </w:tc>
      </w:tr>
      <w:tr>
        <w:trPr>
          <w:cantSplit/>
          <w:tblHeader w:val="false"/>
        </w:trPr>
        <w:tc>
          <w:tcPr>
            <w:tcW w:type="dxa" w:w="3089"/>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101828"/>
                <w:sz w:val="18"/>
                <w:szCs w:val="18"/>
              </w:rPr>
              <w:t xml:space="preserve">Respect for confidentiality, ownership and process</w:t>
            </w:r>
          </w:p>
        </w:tc>
        <w:tc>
          <w:tcPr>
            <w:tcW w:type="dxa" w:w="3089"/>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Urgent request with incomplete brief</w:t>
            </w:r>
          </w:p>
        </w:tc>
        <w:tc>
          <w:tcPr>
            <w:tcW w:type="dxa" w:w="3182"/>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Unacceptable legal, ethical or reputational risk</w:t>
            </w:r>
          </w:p>
        </w:tc>
      </w:tr>
    </w:tbl>
    <w:p>
      <w:pPr>
        <w:spacing w:after="160" w:before="0"/>
      </w:pPr>
    </w:p>
    <w:p>
      <w:pPr>
        <w:keepNext/>
        <w:spacing w:after="40" w:before="360"/>
      </w:pPr>
      <w:r>
        <w:rPr>
          <w:rFonts w:ascii="Inter" w:hAnsi="Inter" w:eastAsia="Inter" w:cs="Inter"/>
          <w:b/>
          <w:bCs/>
          <w:color w:val="315BFF"/>
          <w:spacing w:val="20"/>
          <w:sz w:val="16"/>
          <w:szCs w:val="16"/>
        </w:rPr>
        <w:t xml:space="preserve">4.3 DIAGNOSTIC AS THE ENTRY OFFER</w:t>
      </w:r>
    </w:p>
    <w:p>
      <w:pPr>
        <w:pStyle w:val="Heading2"/>
        <w:keepNext/>
        <w:keepLines/>
        <w:widowControl/>
        <w:spacing w:before="0"/>
      </w:pPr>
      <w:r>
        <w:rPr>
          <w:rFonts w:ascii="Manrope" w:hAnsi="Manrope" w:eastAsia="Manrope" w:cs="Manrope"/>
          <w:color w:val="101828"/>
        </w:rPr>
        <w:t xml:space="preserve">Earn the right to recommend production</w:t>
      </w:r>
    </w:p>
    <w:p>
      <w:pPr>
        <w:spacing w:after="140"/>
      </w:pPr>
      <w:r>
        <w:rPr>
          <w:rFonts w:ascii="Inter" w:hAnsi="Inter" w:eastAsia="Inter" w:cs="Inter"/>
          <w:color w:val="101828"/>
        </w:rPr>
        <w:t xml:space="preserve">The diagnostic is a paid decision product, not a disguised free audit. It creates a shared fact base, separates symptoms from causes and identifies the most valuable next move.</w:t>
      </w:r>
    </w:p>
    <w:p>
      <w:pPr>
        <w:spacing w:after="140"/>
      </w:pPr>
      <w:r>
        <w:rPr>
          <w:rFonts w:ascii="Inter" w:hAnsi="Inter" w:eastAsia="Inter" w:cs="Inter"/>
          <w:b/>
          <w:bCs/>
          <w:color w:val="101828"/>
        </w:rPr>
        <w:t xml:space="preserve">Typical scope:</w:t>
      </w:r>
      <w:r>
        <w:rPr>
          <w:rFonts w:ascii="Inter" w:hAnsi="Inter" w:eastAsia="Inter" w:cs="Inter"/>
          <w:color w:val="101828"/>
        </w:rPr>
        <w:t xml:space="preserve"> product and portfolio context; shopper and use-case hypothesis; competitor and category scan; review and customer-language analysis; listing and creative quality review; discoverability observations where data exists; offer, price, rating, inventory and operational context; workflow and capability review; prioritized opportunity map; recommended delivery mode and measurement plan.</w:t>
      </w:r>
    </w:p>
    <w:p>
      <w:pPr>
        <w:spacing w:after="140"/>
      </w:pPr>
      <w:r>
        <w:rPr>
          <w:rFonts w:ascii="Inter" w:hAnsi="Inter" w:eastAsia="Inter" w:cs="Inter"/>
          <w:b/>
          <w:bCs/>
          <w:color w:val="101828"/>
        </w:rPr>
        <w:t xml:space="preserve">Outputs:</w:t>
      </w:r>
      <w:r>
        <w:rPr>
          <w:rFonts w:ascii="Inter" w:hAnsi="Inter" w:eastAsia="Inter" w:cs="Inter"/>
          <w:color w:val="101828"/>
        </w:rPr>
        <w:t xml:space="preserve"> executive conclusion, evidence base and remaining uncertainty, opportunity map ordered by impact, confidence and effort, initial positioning direction, implementation path and measurement plan.</w:t>
      </w:r>
    </w:p>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360"/>
      </w:tblGrid>
      <w:tr>
        <w:trPr>
          <w:cantSplit/>
          <w:tblHeader w:val="true"/>
        </w:trPr>
        <w:tc>
          <w:tcPr>
            <w:tcW w:type="dxa" w:w="9360"/>
            <w:tcBorders>
              <w:top w:val="nil" w:color="FFFFFF" w:sz="0"/>
              <w:left w:val="single" w:color="315BFF" w:sz="20" w:space="0"/>
              <w:bottom w:val="nil" w:color="FFFFFF" w:sz="0"/>
              <w:right w:val="none" w:color="FFFFFF" w:sz="0"/>
              <w:end w:val="nil"/>
            </w:tcBorders>
            <w:shd w:fill="EAF0FF" w:color="auto" w:val="clear"/>
            <w:tcMar>
              <w:top w:type="dxa" w:w="120"/>
              <w:left w:type="dxa" w:w="240"/>
              <w:bottom w:type="dxa" w:w="120"/>
              <w:right w:type="dxa" w:w="240"/>
              <w:start w:w="160" w:type="dxa"/>
              <w:end w:w="160" w:type="dxa"/>
            </w:tcMar>
          </w:tcPr>
          <w:p>
            <w:pPr>
              <w:spacing w:after="70"/>
            </w:pPr>
            <w:r>
              <w:rPr>
                <w:rFonts w:ascii="Inter" w:hAnsi="Inter" w:eastAsia="Inter" w:cs="Inter"/>
                <w:b/>
                <w:bCs/>
                <w:color w:val="101828"/>
                <w:sz w:val="19"/>
                <w:szCs w:val="19"/>
              </w:rPr>
              <w:t xml:space="preserve">Free versus paid.</w:t>
            </w:r>
            <w:r>
              <w:rPr>
                <w:rFonts w:ascii="Inter" w:hAnsi="Inter" w:eastAsia="Inter" w:cs="Inter"/>
                <w:color w:val="101828"/>
                <w:sz w:val="19"/>
                <w:szCs w:val="19"/>
              </w:rPr>
              <w:t xml:space="preserve"> A short qualification conversation may include one or two initial observations. A full competitor review, customer analysis, listing teardown or recommendation is paid. Free work demonstrates the standard of thinking without replacing the diagnostic.</w:t>
            </w:r>
          </w:p>
        </w:tc>
      </w:tr>
    </w:tbl>
    <w:p>
      <w:pPr>
        <w:spacing w:after="160" w:before="0"/>
      </w:pPr>
    </w:p>
    <w:p>
      <w:pPr>
        <w:keepNext/>
        <w:spacing w:after="40" w:before="360"/>
      </w:pPr>
      <w:r>
        <w:rPr>
          <w:rFonts w:ascii="Inter" w:hAnsi="Inter" w:eastAsia="Inter" w:cs="Inter"/>
          <w:b/>
          <w:bCs/>
          <w:color w:val="315BFF"/>
          <w:spacing w:val="20"/>
          <w:sz w:val="16"/>
          <w:szCs w:val="16"/>
        </w:rPr>
        <w:t xml:space="preserve">4.4 PROPOSAL STANDARD</w:t>
      </w:r>
    </w:p>
    <w:p>
      <w:pPr>
        <w:pStyle w:val="Heading2"/>
        <w:keepNext/>
        <w:keepLines/>
        <w:widowControl/>
        <w:spacing w:before="0"/>
      </w:pPr>
      <w:r>
        <w:rPr>
          <w:rFonts w:ascii="Manrope" w:hAnsi="Manrope" w:eastAsia="Manrope" w:cs="Manrope"/>
          <w:color w:val="101828"/>
        </w:rPr>
        <w:t xml:space="preserve">Make the decision easy to evaluate</w:t>
      </w:r>
    </w:p>
    <w:tbl>
      <w:tblPr>
        <w:tblW w:type="dxa" w:w="9360"/>
        <w:tblBorders>
          <w:top w:val="nil" w:color="D9DEE8" w:sz="4"/>
          <w:left w:val="none" w:color="FFFFFF" w:sz="0"/>
          <w:bottom w:val="single" w:color="D9DEE8" w:sz="5" w:space="0"/>
          <w:right w:val="none" w:color="FFFFFF" w:sz="0"/>
          <w:insideH w:val="single" w:color="D9DEE8" w:sz="5" w:space="0"/>
          <w:insideV w:val="nil" w:color="FFFFFF" w:sz="0"/>
          <w:start w:val="nil"/>
          <w:end w:val="nil"/>
        </w:tblBorders>
        <w:tblLayout w:type="fixed"/>
      </w:tblPr>
      <w:tblGrid>
        <w:gridCol w:w="1685"/>
        <w:gridCol w:w="7675"/>
      </w:tblGrid>
      <w:tr>
        <w:trPr>
          <w:cantSplit/>
          <w:tblHeader w:val="true"/>
        </w:trPr>
        <w:tc>
          <w:tcPr>
            <w:tcW w:type="dxa" w:w="1685"/>
            <w:shd w:fill="101828" w:color="auto" w:val="clear"/>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FFFFFF"/>
                <w:sz w:val="18"/>
                <w:szCs w:val="18"/>
              </w:rPr>
              <w:t xml:space="preserve">Section</w:t>
            </w:r>
          </w:p>
        </w:tc>
        <w:tc>
          <w:tcPr>
            <w:tcW w:type="dxa" w:w="7675"/>
            <w:shd w:fill="101828" w:color="auto" w:val="clear"/>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FFFFFF"/>
                <w:sz w:val="18"/>
                <w:szCs w:val="18"/>
              </w:rPr>
              <w:t xml:space="preserve">Content</w:t>
            </w:r>
          </w:p>
        </w:tc>
      </w:tr>
      <w:tr>
        <w:trPr>
          <w:cantSplit/>
          <w:tblHeader w:val="false"/>
        </w:trPr>
        <w:tc>
          <w:tcPr>
            <w:tcW w:type="dxa" w:w="1685"/>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101828"/>
                <w:sz w:val="18"/>
                <w:szCs w:val="18"/>
              </w:rPr>
              <w:t xml:space="preserve">Situation</w:t>
            </w:r>
          </w:p>
        </w:tc>
        <w:tc>
          <w:tcPr>
            <w:tcW w:type="dxa" w:w="7675"/>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The trigger, business context and current symptoms in the client's language</w:t>
            </w:r>
          </w:p>
        </w:tc>
      </w:tr>
      <w:tr>
        <w:trPr>
          <w:cantSplit/>
          <w:tblHeader w:val="false"/>
        </w:trPr>
        <w:tc>
          <w:tcPr>
            <w:tcW w:type="dxa" w:w="1685"/>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101828"/>
                <w:sz w:val="18"/>
                <w:szCs w:val="18"/>
              </w:rPr>
              <w:t xml:space="preserve">Diagnosis</w:t>
            </w:r>
          </w:p>
        </w:tc>
        <w:tc>
          <w:tcPr>
            <w:tcW w:type="dxa" w:w="7675"/>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The working hypothesis and evidence already available</w:t>
            </w:r>
          </w:p>
        </w:tc>
      </w:tr>
      <w:tr>
        <w:trPr>
          <w:cantSplit/>
          <w:tblHeader w:val="false"/>
        </w:trPr>
        <w:tc>
          <w:tcPr>
            <w:tcW w:type="dxa" w:w="1685"/>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101828"/>
                <w:sz w:val="18"/>
                <w:szCs w:val="18"/>
              </w:rPr>
              <w:t xml:space="preserve">Outcome</w:t>
            </w:r>
          </w:p>
        </w:tc>
        <w:tc>
          <w:tcPr>
            <w:tcW w:type="dxa" w:w="7675"/>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What will be different by the end, including capability where relevant</w:t>
            </w:r>
          </w:p>
        </w:tc>
      </w:tr>
      <w:tr>
        <w:trPr>
          <w:cantSplit/>
          <w:tblHeader w:val="false"/>
        </w:trPr>
        <w:tc>
          <w:tcPr>
            <w:tcW w:type="dxa" w:w="1685"/>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101828"/>
                <w:sz w:val="18"/>
                <w:szCs w:val="18"/>
              </w:rPr>
              <w:t xml:space="preserve">Scope</w:t>
            </w:r>
          </w:p>
        </w:tc>
        <w:tc>
          <w:tcPr>
            <w:tcW w:type="dxa" w:w="7675"/>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Products, markets, deliverables, exclusions, assumptions and client inputs</w:t>
            </w:r>
          </w:p>
        </w:tc>
      </w:tr>
      <w:tr>
        <w:trPr>
          <w:cantSplit/>
          <w:tblHeader w:val="false"/>
        </w:trPr>
        <w:tc>
          <w:tcPr>
            <w:tcW w:type="dxa" w:w="1685"/>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101828"/>
                <w:sz w:val="18"/>
                <w:szCs w:val="18"/>
              </w:rPr>
              <w:t xml:space="preserve">Approach</w:t>
            </w:r>
          </w:p>
        </w:tc>
        <w:tc>
          <w:tcPr>
            <w:tcW w:type="dxa" w:w="7675"/>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Stages, working sessions, quality gates and decision points</w:t>
            </w:r>
          </w:p>
        </w:tc>
      </w:tr>
      <w:tr>
        <w:trPr>
          <w:cantSplit/>
          <w:tblHeader w:val="false"/>
        </w:trPr>
        <w:tc>
          <w:tcPr>
            <w:tcW w:type="dxa" w:w="1685"/>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101828"/>
                <w:sz w:val="18"/>
                <w:szCs w:val="18"/>
              </w:rPr>
              <w:t xml:space="preserve">Team</w:t>
            </w:r>
          </w:p>
        </w:tc>
        <w:tc>
          <w:tcPr>
            <w:tcW w:type="dxa" w:w="7675"/>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Named expert lead, specialist roles and client responsibilities</w:t>
            </w:r>
          </w:p>
        </w:tc>
      </w:tr>
      <w:tr>
        <w:trPr>
          <w:cantSplit/>
          <w:tblHeader w:val="false"/>
        </w:trPr>
        <w:tc>
          <w:tcPr>
            <w:tcW w:type="dxa" w:w="1685"/>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101828"/>
                <w:sz w:val="18"/>
                <w:szCs w:val="18"/>
              </w:rPr>
              <w:t xml:space="preserve">Timing</w:t>
            </w:r>
          </w:p>
        </w:tc>
        <w:tc>
          <w:tcPr>
            <w:tcW w:type="dxa" w:w="7675"/>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Milestones, review windows, dependencies and launch date</w:t>
            </w:r>
          </w:p>
        </w:tc>
      </w:tr>
      <w:tr>
        <w:trPr>
          <w:cantSplit/>
          <w:tblHeader w:val="false"/>
        </w:trPr>
        <w:tc>
          <w:tcPr>
            <w:tcW w:type="dxa" w:w="1685"/>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101828"/>
                <w:sz w:val="18"/>
                <w:szCs w:val="18"/>
              </w:rPr>
              <w:t xml:space="preserve">Measurement</w:t>
            </w:r>
          </w:p>
        </w:tc>
        <w:tc>
          <w:tcPr>
            <w:tcW w:type="dxa" w:w="7675"/>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Baseline, indicators, attribution limits and review cadence</w:t>
            </w:r>
          </w:p>
        </w:tc>
      </w:tr>
      <w:tr>
        <w:trPr>
          <w:cantSplit/>
          <w:tblHeader w:val="false"/>
        </w:trPr>
        <w:tc>
          <w:tcPr>
            <w:tcW w:type="dxa" w:w="1685"/>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101828"/>
                <w:sz w:val="18"/>
                <w:szCs w:val="18"/>
              </w:rPr>
              <w:t xml:space="preserve">Commercials</w:t>
            </w:r>
          </w:p>
        </w:tc>
        <w:tc>
          <w:tcPr>
            <w:tcW w:type="dxa" w:w="7675"/>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Fee, payment schedule, taxes, expenses and change-control rules</w:t>
            </w:r>
          </w:p>
        </w:tc>
      </w:tr>
      <w:tr>
        <w:trPr>
          <w:cantSplit/>
          <w:tblHeader w:val="false"/>
        </w:trPr>
        <w:tc>
          <w:tcPr>
            <w:tcW w:type="dxa" w:w="1685"/>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101828"/>
                <w:sz w:val="18"/>
                <w:szCs w:val="18"/>
              </w:rPr>
              <w:t xml:space="preserve">Protection</w:t>
            </w:r>
          </w:p>
        </w:tc>
        <w:tc>
          <w:tcPr>
            <w:tcW w:type="dxa" w:w="7675"/>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Confidentiality, intellectual property, agency accounts, AI use and case-study permission</w:t>
            </w:r>
          </w:p>
        </w:tc>
      </w:tr>
      <w:tr>
        <w:trPr>
          <w:cantSplit/>
          <w:tblHeader w:val="false"/>
        </w:trPr>
        <w:tc>
          <w:tcPr>
            <w:tcW w:type="dxa" w:w="1685"/>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101828"/>
                <w:sz w:val="18"/>
                <w:szCs w:val="18"/>
              </w:rPr>
              <w:t xml:space="preserve">Next decision</w:t>
            </w:r>
          </w:p>
        </w:tc>
        <w:tc>
          <w:tcPr>
            <w:tcW w:type="dxa" w:w="7675"/>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Exact approval, owner and date required to begin</w:t>
            </w:r>
          </w:p>
        </w:tc>
      </w:tr>
    </w:tbl>
    <w:p>
      <w:pPr>
        <w:spacing w:after="160" w:before="0"/>
      </w:pPr>
    </w:p>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360"/>
      </w:tblGrid>
      <w:tr>
        <w:trPr>
          <w:cantSplit/>
          <w:tblHeader w:val="true"/>
        </w:trPr>
        <w:tc>
          <w:tcPr>
            <w:tcW w:type="dxa" w:w="9360"/>
            <w:tcBorders>
              <w:top w:val="nil" w:color="FFFFFF" w:sz="0"/>
              <w:left w:val="single" w:color="315BFF" w:sz="20" w:space="0"/>
              <w:bottom w:val="nil" w:color="FFFFFF" w:sz="0"/>
              <w:right w:val="none" w:color="FFFFFF" w:sz="0"/>
              <w:end w:val="nil"/>
            </w:tcBorders>
            <w:shd w:fill="EAF0FF" w:color="auto" w:val="clear"/>
            <w:tcMar>
              <w:top w:type="dxa" w:w="120"/>
              <w:left w:type="dxa" w:w="240"/>
              <w:bottom w:type="dxa" w:w="120"/>
              <w:right w:type="dxa" w:w="240"/>
              <w:start w:w="160" w:type="dxa"/>
              <w:end w:w="160" w:type="dxa"/>
            </w:tcMar>
          </w:tcPr>
          <w:p>
            <w:pPr>
              <w:spacing w:after="70"/>
            </w:pPr>
            <w:r>
              <w:rPr>
                <w:rFonts w:ascii="Inter" w:hAnsi="Inter" w:eastAsia="Inter" w:cs="Inter"/>
                <w:b/>
                <w:bCs/>
                <w:color w:val="101828"/>
                <w:sz w:val="19"/>
                <w:szCs w:val="19"/>
              </w:rPr>
              <w:t xml:space="preserve">Prefer:</w:t>
            </w:r>
            <w:r>
              <w:rPr>
                <w:rFonts w:ascii="Inter" w:hAnsi="Inter" w:eastAsia="Inter" w:cs="Inter"/>
                <w:color w:val="101828"/>
                <w:sz w:val="19"/>
                <w:szCs w:val="19"/>
              </w:rPr>
              <w:t xml:space="preserve"> The engagement will produce a decision-ready positioning, complete listing direction for five priority ASINs and a quality-controlled workflow the agency team can repeat.</w:t>
            </w:r>
          </w:p>
          <w:p>
            <w:pPr>
              <w:spacing w:after="70"/>
            </w:pPr>
            <w:r>
              <w:rPr>
                <w:rFonts w:ascii="Inter" w:hAnsi="Inter" w:eastAsia="Inter" w:cs="Inter"/>
                <w:b/>
                <w:bCs/>
                <w:color w:val="101828"/>
                <w:sz w:val="19"/>
                <w:szCs w:val="19"/>
              </w:rPr>
              <w:t xml:space="preserve">Avoid:</w:t>
            </w:r>
            <w:r>
              <w:rPr>
                <w:rFonts w:ascii="Inter" w:hAnsi="Inter" w:eastAsia="Inter" w:cs="Inter"/>
                <w:color w:val="101828"/>
                <w:sz w:val="19"/>
                <w:szCs w:val="19"/>
              </w:rPr>
              <w:t xml:space="preserve"> ADelier will provide best-in-class strategic services designed to maximize growth.</w:t>
            </w:r>
          </w:p>
        </w:tc>
      </w:tr>
    </w:tbl>
    <w:p>
      <w:pPr>
        <w:spacing w:after="160" w:before="0"/>
      </w:pPr>
    </w:p>
    <w:p>
      <w:pPr>
        <w:spacing w:after="140"/>
      </w:pPr>
      <w:r>
        <w:rPr>
          <w:rFonts w:ascii="Inter" w:hAnsi="Inter" w:eastAsia="Inter" w:cs="Inter"/>
          <w:color w:val="101828"/>
        </w:rPr>
        <w:t xml:space="preserve">Use no more than three options, each a meaningful operating choice: </w:t>
      </w:r>
      <w:r>
        <w:rPr>
          <w:rFonts w:ascii="Inter" w:hAnsi="Inter" w:eastAsia="Inter" w:cs="Inter"/>
          <w:b/>
          <w:bCs/>
          <w:color w:val="101828"/>
        </w:rPr>
        <w:t xml:space="preserve">Diagnose</w:t>
      </w:r>
      <w:r>
        <w:rPr>
          <w:rFonts w:ascii="Inter" w:hAnsi="Inter" w:eastAsia="Inter" w:cs="Inter"/>
          <w:color w:val="101828"/>
        </w:rPr>
        <w:t xml:space="preserve"> (clarity before committing to production), </w:t>
      </w:r>
      <w:r>
        <w:rPr>
          <w:rFonts w:ascii="Inter" w:hAnsi="Inter" w:eastAsia="Inter" w:cs="Inter"/>
          <w:b/>
          <w:bCs/>
          <w:color w:val="101828"/>
        </w:rPr>
        <w:t xml:space="preserve">Build</w:t>
      </w:r>
      <w:r>
        <w:rPr>
          <w:rFonts w:ascii="Inter" w:hAnsi="Inter" w:eastAsia="Inter" w:cs="Inter"/>
          <w:color w:val="101828"/>
        </w:rPr>
        <w:t xml:space="preserve"> (diagnostic, positioning, content and creative direction) and </w:t>
      </w:r>
      <w:r>
        <w:rPr>
          <w:rFonts w:ascii="Inter" w:hAnsi="Inter" w:eastAsia="Inter" w:cs="Inter"/>
          <w:b/>
          <w:bCs/>
          <w:color w:val="101828"/>
        </w:rPr>
        <w:t xml:space="preserve">Build and Enable</w:t>
      </w:r>
      <w:r>
        <w:rPr>
          <w:rFonts w:ascii="Inter" w:hAnsi="Inter" w:eastAsia="Inter" w:cs="Inter"/>
          <w:color w:val="101828"/>
        </w:rPr>
        <w:t xml:space="preserve"> (build scope plus workshop, playbooks, practice and handoff).</w:t>
      </w:r>
    </w:p>
    <w:p>
      <w:pPr>
        <w:keepNext/>
        <w:spacing w:after="40" w:before="360"/>
      </w:pPr>
      <w:r>
        <w:rPr>
          <w:rFonts w:ascii="Inter" w:hAnsi="Inter" w:eastAsia="Inter" w:cs="Inter"/>
          <w:b/>
          <w:bCs/>
          <w:color w:val="315BFF"/>
          <w:spacing w:val="20"/>
          <w:sz w:val="16"/>
          <w:szCs w:val="16"/>
        </w:rPr>
        <w:t xml:space="preserve">4.5 PRICING PRINCIPLES</w:t>
      </w:r>
    </w:p>
    <w:p>
      <w:pPr>
        <w:pStyle w:val="Heading2"/>
        <w:keepNext/>
        <w:keepLines/>
        <w:widowControl/>
        <w:spacing w:before="0"/>
      </w:pPr>
      <w:r>
        <w:rPr>
          <w:rFonts w:ascii="Manrope" w:hAnsi="Manrope" w:eastAsia="Manrope" w:cs="Manrope"/>
          <w:color w:val="101828"/>
        </w:rPr>
        <w:t xml:space="preserve">Price the defined value and service model</w:t>
      </w:r>
    </w:p>
    <w:p>
      <w:pPr>
        <w:spacing w:after="140"/>
      </w:pPr>
      <w:r>
        <w:rPr>
          <w:rFonts w:ascii="Inter" w:hAnsi="Inter" w:eastAsia="Inter" w:cs="Inter"/>
          <w:color w:val="101828"/>
        </w:rPr>
        <w:t xml:space="preserve">ADelier may use an efficient Poland-based cost structure, but external pricing reflects value, expertise, risk, scope and delivery commitment, not a markup on low labor cost.</w:t>
      </w:r>
    </w:p>
    <w:p>
      <w:pPr>
        <w:pStyle w:val="ListParagraph"/>
        <w:numPr>
          <w:ilvl w:val="0"/>
          <w:numId w:val="2"/>
        </w:numPr>
        <w:spacing w:after="60"/>
      </w:pPr>
      <w:r>
        <w:rPr>
          <w:rFonts w:ascii="Inter" w:hAnsi="Inter" w:eastAsia="Inter" w:cs="Inter"/>
          <w:b/>
          <w:bCs/>
          <w:color w:val="101828"/>
        </w:rPr>
        <w:t xml:space="preserve">Fixed fees for bounded outcomes.</w:t>
      </w:r>
      <w:r>
        <w:rPr>
          <w:rFonts w:ascii="Inter" w:hAnsi="Inter" w:eastAsia="Inter" w:cs="Inter"/>
          <w:color w:val="101828"/>
        </w:rPr>
        <w:t xml:space="preserve"> Diagnostics, sprints and workshops have clear scope and price.</w:t>
      </w:r>
    </w:p>
    <w:p>
      <w:pPr>
        <w:pStyle w:val="ListParagraph"/>
        <w:numPr>
          <w:ilvl w:val="0"/>
          <w:numId w:val="2"/>
        </w:numPr>
        <w:spacing w:after="60"/>
      </w:pPr>
      <w:r>
        <w:rPr>
          <w:rFonts w:ascii="Inter" w:hAnsi="Inter" w:eastAsia="Inter" w:cs="Inter"/>
          <w:b/>
          <w:bCs/>
          <w:color w:val="101828"/>
        </w:rPr>
        <w:t xml:space="preserve">Retainers or pods for recurring capacity.</w:t>
      </w:r>
      <w:r>
        <w:rPr>
          <w:rFonts w:ascii="Inter" w:hAnsi="Inter" w:eastAsia="Inter" w:cs="Inter"/>
          <w:color w:val="101828"/>
        </w:rPr>
        <w:t xml:space="preserve"> Define included roles, output range, cadence and service levels.</w:t>
      </w:r>
    </w:p>
    <w:p>
      <w:pPr>
        <w:pStyle w:val="ListParagraph"/>
        <w:numPr>
          <w:ilvl w:val="0"/>
          <w:numId w:val="2"/>
        </w:numPr>
        <w:spacing w:after="60"/>
      </w:pPr>
      <w:r>
        <w:rPr>
          <w:rFonts w:ascii="Inter" w:hAnsi="Inter" w:eastAsia="Inter" w:cs="Inter"/>
          <w:b/>
          <w:bCs/>
          <w:color w:val="101828"/>
        </w:rPr>
        <w:t xml:space="preserve">Partner pricing for agencies.</w:t>
      </w:r>
      <w:r>
        <w:rPr>
          <w:rFonts w:ascii="Inter" w:hAnsi="Inter" w:eastAsia="Inter" w:cs="Inter"/>
          <w:color w:val="101828"/>
        </w:rPr>
        <w:t xml:space="preserve"> Preserve agency economics while maintaining a quality floor.</w:t>
      </w:r>
    </w:p>
    <w:p>
      <w:pPr>
        <w:pStyle w:val="ListParagraph"/>
        <w:numPr>
          <w:ilvl w:val="0"/>
          <w:numId w:val="2"/>
        </w:numPr>
        <w:spacing w:after="60"/>
      </w:pPr>
      <w:r>
        <w:rPr>
          <w:rFonts w:ascii="Inter" w:hAnsi="Inter" w:eastAsia="Inter" w:cs="Inter"/>
          <w:b/>
          <w:bCs/>
          <w:color w:val="101828"/>
        </w:rPr>
        <w:t>Charge for expert judgment.</w:t>
      </w:r>
      <w:r>
        <w:rPr>
          <w:rFonts w:ascii="Inter" w:hAnsi="Inter" w:eastAsia="Inter" w:cs="Inter"/>
          <w:color w:val="101828"/>
        </w:rPr>
        <w:t xml:space="preserve"> Do not hide strategic work inside commodity production rates.</w:t>
      </w:r>
    </w:p>
    <w:p>
      <w:pPr>
        <w:pStyle w:val="ListParagraph"/>
        <w:numPr>
          <w:ilvl w:val="0"/>
          <w:numId w:val="2"/>
        </w:numPr>
        <w:spacing w:after="60"/>
      </w:pPr>
      <w:r>
        <w:rPr>
          <w:rFonts w:ascii="Inter" w:hAnsi="Inter" w:eastAsia="Inter" w:cs="Inter"/>
          <w:b/>
          <w:bCs/>
          <w:color w:val="101828"/>
        </w:rPr>
        <w:t xml:space="preserve">Separate scope from revision risk.</w:t>
      </w:r>
      <w:r>
        <w:rPr>
          <w:rFonts w:ascii="Inter" w:hAnsi="Inter" w:eastAsia="Inter" w:cs="Inter"/>
          <w:color w:val="101828"/>
        </w:rPr>
        <w:t xml:space="preserve"> Define review rounds, response windows and change control.</w:t>
      </w:r>
    </w:p>
    <w:p>
      <w:pPr>
        <w:pStyle w:val="ListParagraph"/>
        <w:numPr>
          <w:ilvl w:val="0"/>
          <w:numId w:val="2"/>
        </w:numPr>
        <w:spacing w:after="60"/>
      </w:pPr>
      <w:r>
        <w:rPr>
          <w:rFonts w:ascii="Inter" w:hAnsi="Inter" w:eastAsia="Inter" w:cs="Inter"/>
          <w:b/>
          <w:bCs/>
          <w:color w:val="101828"/>
        </w:rPr>
        <w:t xml:space="preserve">Avoid unlimited work.</w:t>
      </w:r>
      <w:r>
        <w:rPr>
          <w:rFonts w:ascii="Inter" w:hAnsi="Inter" w:eastAsia="Inter" w:cs="Inter"/>
          <w:color w:val="101828"/>
        </w:rPr>
        <w:t xml:space="preserve"> It creates unclear priorities and undermines reliable delivery.</w:t>
      </w:r>
    </w:p>
    <w:p>
      <w:pPr>
        <w:pStyle w:val="ListParagraph"/>
        <w:numPr>
          <w:ilvl w:val="0"/>
          <w:numId w:val="2"/>
        </w:numPr>
        <w:spacing w:after="60"/>
      </w:pPr>
      <w:r>
        <w:rPr>
          <w:rFonts w:ascii="Inter" w:hAnsi="Inter" w:eastAsia="Inter" w:cs="Inter"/>
          <w:b/>
          <w:bCs/>
          <w:color w:val="101828"/>
        </w:rPr>
        <w:t xml:space="preserve">No performance fees before attribution is credible.</w:t>
      </w:r>
      <w:r>
        <w:rPr>
          <w:rFonts w:ascii="Inter" w:hAnsi="Inter" w:eastAsia="Inter" w:cs="Inter"/>
          <w:color w:val="101828"/>
        </w:rPr>
        <w:t xml:space="preserve"> Marketplace results depend on variables ADelier may not control.</w:t>
      </w:r>
    </w:p>
    <w:p>
      <w:pPr>
        <w:pStyle w:val="ListParagraph"/>
        <w:numPr>
          <w:ilvl w:val="0"/>
          <w:numId w:val="2"/>
        </w:numPr>
        <w:spacing w:after="60"/>
      </w:pPr>
      <w:r>
        <w:rPr>
          <w:rFonts w:ascii="Inter" w:hAnsi="Inter" w:eastAsia="Inter" w:cs="Inter"/>
          <w:b/>
          <w:bCs/>
          <w:color w:val="101828"/>
        </w:rPr>
        <w:t xml:space="preserve">Protect training value.</w:t>
      </w:r>
      <w:r>
        <w:rPr>
          <w:rFonts w:ascii="Inter" w:hAnsi="Inter" w:eastAsia="Inter" w:cs="Inter"/>
          <w:color w:val="101828"/>
        </w:rPr>
        <w:t xml:space="preserve"> Price programs by customization, facilitation, cohort size, tools and follow-through, not presentation hours.</w:t>
      </w:r>
    </w:p>
    <w:p>
      <w:pPr>
        <w:spacing w:after="80" w:before="0"/>
      </w:pPr>
    </w:p>
    <w:tbl>
      <w:tblPr>
        <w:tblW w:type="dxa" w:w="9360"/>
        <w:tblBorders>
          <w:top w:val="nil" w:color="D9DEE8" w:sz="4"/>
          <w:left w:val="none" w:color="FFFFFF" w:sz="0"/>
          <w:bottom w:val="single" w:color="D9DEE8" w:sz="5" w:space="0"/>
          <w:right w:val="none" w:color="FFFFFF" w:sz="0"/>
          <w:insideH w:val="single" w:color="D9DEE8" w:sz="5" w:space="0"/>
          <w:insideV w:val="nil" w:color="FFFFFF" w:sz="0"/>
          <w:start w:val="nil"/>
          <w:end w:val="nil"/>
        </w:tblBorders>
        <w:tblLayout w:type="fixed"/>
      </w:tblPr>
      <w:tblGrid>
        <w:gridCol w:w="2246"/>
        <w:gridCol w:w="3557"/>
        <w:gridCol w:w="3557"/>
      </w:tblGrid>
      <w:tr>
        <w:trPr>
          <w:cantSplit/>
          <w:tblHeader w:val="true"/>
        </w:trPr>
        <w:tc>
          <w:tcPr>
            <w:tcW w:type="dxa" w:w="2246"/>
            <w:shd w:fill="101828" w:color="auto" w:val="clear"/>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FFFFFF"/>
                <w:sz w:val="18"/>
                <w:szCs w:val="18"/>
              </w:rPr>
              <w:t xml:space="preserve">Commercial model</w:t>
            </w:r>
          </w:p>
        </w:tc>
        <w:tc>
          <w:tcPr>
            <w:tcW w:type="dxa" w:w="3557"/>
            <w:shd w:fill="101828" w:color="auto" w:val="clear"/>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FFFFFF"/>
                <w:sz w:val="18"/>
                <w:szCs w:val="18"/>
              </w:rPr>
              <w:t xml:space="preserve">Best for</w:t>
            </w:r>
          </w:p>
        </w:tc>
        <w:tc>
          <w:tcPr>
            <w:tcW w:type="dxa" w:w="3557"/>
            <w:shd w:fill="101828" w:color="auto" w:val="clear"/>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FFFFFF"/>
                <w:sz w:val="18"/>
                <w:szCs w:val="18"/>
              </w:rPr>
              <w:t xml:space="preserve">Must define</w:t>
            </w:r>
          </w:p>
        </w:tc>
      </w:tr>
      <w:tr>
        <w:trPr>
          <w:cantSplit/>
          <w:tblHeader w:val="false"/>
        </w:trPr>
        <w:tc>
          <w:tcPr>
            <w:tcW w:type="dxa" w:w="2246"/>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101828"/>
                <w:sz w:val="18"/>
                <w:szCs w:val="18"/>
              </w:rPr>
              <w:t xml:space="preserve">Fixed project fee</w:t>
            </w:r>
          </w:p>
        </w:tc>
        <w:tc>
          <w:tcPr>
            <w:tcW w:type="dxa" w:w="3557"/>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Diagnostic, positioning sprint, listing rebuild or workshop</w:t>
            </w:r>
          </w:p>
        </w:tc>
        <w:tc>
          <w:tcPr>
            <w:tcW w:type="dxa" w:w="3557"/>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Outcome, scope, milestones and revisions</w:t>
            </w:r>
          </w:p>
        </w:tc>
      </w:tr>
      <w:tr>
        <w:trPr>
          <w:cantSplit/>
          <w:tblHeader w:val="false"/>
        </w:trPr>
        <w:tc>
          <w:tcPr>
            <w:tcW w:type="dxa" w:w="2246"/>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101828"/>
                <w:sz w:val="18"/>
                <w:szCs w:val="18"/>
              </w:rPr>
              <w:t xml:space="preserve">Monthly delivery pod</w:t>
            </w:r>
          </w:p>
        </w:tc>
        <w:tc>
          <w:tcPr>
            <w:tcW w:type="dxa" w:w="3557"/>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Recurring agency or brand execution</w:t>
            </w:r>
          </w:p>
        </w:tc>
        <w:tc>
          <w:tcPr>
            <w:tcW w:type="dxa" w:w="3557"/>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Capacity assumptions, priority rules, service levels and unused-capacity policy</w:t>
            </w:r>
          </w:p>
        </w:tc>
      </w:tr>
      <w:tr>
        <w:trPr>
          <w:cantSplit/>
          <w:tblHeader w:val="false"/>
        </w:trPr>
        <w:tc>
          <w:tcPr>
            <w:tcW w:type="dxa" w:w="2246"/>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101828"/>
                <w:sz w:val="18"/>
                <w:szCs w:val="18"/>
              </w:rPr>
              <w:t xml:space="preserve">Advisory retainer</w:t>
            </w:r>
          </w:p>
        </w:tc>
        <w:tc>
          <w:tcPr>
            <w:tcW w:type="dxa" w:w="3557"/>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Expert support, quality assurance or portfolio decisions</w:t>
            </w:r>
          </w:p>
        </w:tc>
        <w:tc>
          <w:tcPr>
            <w:tcW w:type="dxa" w:w="3557"/>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Meeting cadence, response time and decision scope</w:t>
            </w:r>
          </w:p>
        </w:tc>
      </w:tr>
      <w:tr>
        <w:trPr>
          <w:cantSplit/>
          <w:tblHeader w:val="false"/>
        </w:trPr>
        <w:tc>
          <w:tcPr>
            <w:tcW w:type="dxa" w:w="2246"/>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101828"/>
                <w:sz w:val="18"/>
                <w:szCs w:val="18"/>
              </w:rPr>
              <w:t xml:space="preserve">Training program fee</w:t>
            </w:r>
          </w:p>
        </w:tc>
        <w:tc>
          <w:tcPr>
            <w:tcW w:type="dxa" w:w="3557"/>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Workshop, lab, cohort or train-the-trainer</w:t>
            </w:r>
          </w:p>
        </w:tc>
        <w:tc>
          <w:tcPr>
            <w:tcW w:type="dxa" w:w="3557"/>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Audience, customization, materials, assessment and follow-up</w:t>
            </w:r>
          </w:p>
        </w:tc>
      </w:tr>
      <w:tr>
        <w:trPr>
          <w:cantSplit/>
          <w:tblHeader w:val="false"/>
        </w:trPr>
        <w:tc>
          <w:tcPr>
            <w:tcW w:type="dxa" w:w="2246"/>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101828"/>
                <w:sz w:val="18"/>
                <w:szCs w:val="18"/>
              </w:rPr>
              <w:t xml:space="preserve">Performance component (later)</w:t>
            </w:r>
          </w:p>
        </w:tc>
        <w:tc>
          <w:tcPr>
            <w:tcW w:type="dxa" w:w="3557"/>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Mature relationships with reliable data and shared control</w:t>
            </w:r>
          </w:p>
        </w:tc>
        <w:tc>
          <w:tcPr>
            <w:tcW w:type="dxa" w:w="3557"/>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Baseline, metric definition, attribution, cap and downside protection</w:t>
            </w:r>
          </w:p>
        </w:tc>
      </w:tr>
    </w:tbl>
    <w:p>
      <w:pPr>
        <w:spacing w:after="160" w:before="0"/>
      </w:pPr>
    </w:p>
    <w:p>
      <w:pPr>
        <w:pStyle w:val="Heading3"/>
        <w:keepNext/>
        <w:keepLines/>
        <w:widowControl/>
      </w:pPr>
      <w:r>
        <w:rPr>
          <w:rFonts w:ascii="Inter" w:hAnsi="Inter" w:eastAsia="Inter" w:cs="Inter"/>
          <w:color w:val="315BFF"/>
        </w:rPr>
        <w:t xml:space="preserve">Discount rules</w:t>
      </w:r>
    </w:p>
    <w:p>
      <w:pPr>
        <w:spacing w:after="140"/>
      </w:pPr>
      <w:r>
        <w:rPr>
          <w:rFonts w:ascii="Inter" w:hAnsi="Inter" w:eastAsia="Inter" w:cs="Inter"/>
          <w:color w:val="101828"/>
        </w:rPr>
        <w:t xml:space="preserve">Discount only in exchange for something that changes the economics or strategic value: committed volume, longer term, standardized scope, faster payment, permission to use an approved case study, lower service level, or a strategic lighthouse account with explicit learning value. Never discount merely because the buyer asks.</w:t>
      </w:r>
    </w:p>
    <w:p>
      <w:pPr>
        <w:keepNext/>
        <w:spacing w:after="40" w:before="360"/>
      </w:pPr>
      <w:r>
        <w:rPr>
          <w:rFonts w:ascii="Inter" w:hAnsi="Inter" w:eastAsia="Inter" w:cs="Inter"/>
          <w:b/>
          <w:bCs/>
          <w:color w:val="315BFF"/>
          <w:spacing w:val="20"/>
          <w:sz w:val="16"/>
          <w:szCs w:val="16"/>
        </w:rPr>
        <w:t xml:space="preserve">4.6 AGENCY PARTNER EXPERIENCE</w:t>
      </w:r>
    </w:p>
    <w:p>
      <w:pPr>
        <w:pStyle w:val="Heading2"/>
        <w:keepNext/>
        <w:keepLines/>
        <w:widowControl/>
        <w:spacing w:before="0"/>
      </w:pPr>
      <w:r>
        <w:rPr>
          <w:rFonts w:ascii="Manrope" w:hAnsi="Manrope" w:eastAsia="Manrope" w:cs="Manrope"/>
          <w:color w:val="101828"/>
        </w:rPr>
        <w:t xml:space="preserve">Protect the agency's client, margin and reputation</w:t>
      </w:r>
    </w:p>
    <w:tbl>
      <w:tblPr>
        <w:tblW w:type="dxa" w:w="9360"/>
        <w:tblBorders>
          <w:top w:val="nil" w:color="D9DEE8" w:sz="4"/>
          <w:left w:val="none" w:color="FFFFFF" w:sz="0"/>
          <w:bottom w:val="single" w:color="D9DEE8" w:sz="5" w:space="0"/>
          <w:right w:val="none" w:color="FFFFFF" w:sz="0"/>
          <w:insideH w:val="single" w:color="D9DEE8" w:sz="5" w:space="0"/>
          <w:insideV w:val="nil" w:color="FFFFFF" w:sz="0"/>
          <w:start w:val="nil"/>
          <w:end w:val="nil"/>
        </w:tblBorders>
        <w:tblLayout w:type="fixed"/>
      </w:tblPr>
      <w:tblGrid>
        <w:gridCol w:w="2246"/>
        <w:gridCol w:w="7114"/>
      </w:tblGrid>
      <w:tr>
        <w:trPr>
          <w:cantSplit/>
          <w:tblHeader w:val="true"/>
        </w:trPr>
        <w:tc>
          <w:tcPr>
            <w:tcW w:type="dxa" w:w="2246"/>
            <w:shd w:fill="101828" w:color="auto" w:val="clear"/>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FFFFFF"/>
                <w:sz w:val="18"/>
                <w:szCs w:val="18"/>
              </w:rPr>
              <w:t xml:space="preserve">Area</w:t>
            </w:r>
          </w:p>
        </w:tc>
        <w:tc>
          <w:tcPr>
            <w:tcW w:type="dxa" w:w="7114"/>
            <w:shd w:fill="101828" w:color="auto" w:val="clear"/>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FFFFFF"/>
                <w:sz w:val="18"/>
                <w:szCs w:val="18"/>
              </w:rPr>
              <w:t xml:space="preserve">Commitment</w:t>
            </w:r>
          </w:p>
        </w:tc>
      </w:tr>
      <w:tr>
        <w:trPr>
          <w:cantSplit/>
          <w:tblHeader w:val="false"/>
        </w:trPr>
        <w:tc>
          <w:tcPr>
            <w:tcW w:type="dxa" w:w="2246"/>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101828"/>
                <w:sz w:val="18"/>
                <w:szCs w:val="18"/>
              </w:rPr>
              <w:t xml:space="preserve">Client protection</w:t>
            </w:r>
          </w:p>
        </w:tc>
        <w:tc>
          <w:tcPr>
            <w:tcW w:type="dxa" w:w="7114"/>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Identify protected accounts; agree non-solicitation and non-circumvention terms</w:t>
            </w:r>
          </w:p>
        </w:tc>
      </w:tr>
      <w:tr>
        <w:trPr>
          <w:cantSplit/>
          <w:tblHeader w:val="false"/>
        </w:trPr>
        <w:tc>
          <w:tcPr>
            <w:tcW w:type="dxa" w:w="2246"/>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101828"/>
                <w:sz w:val="18"/>
                <w:szCs w:val="18"/>
              </w:rPr>
              <w:t xml:space="preserve">Role clarity</w:t>
            </w:r>
          </w:p>
        </w:tc>
        <w:tc>
          <w:tcPr>
            <w:tcW w:type="dxa" w:w="7114"/>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Document whether ADelier is invisible, introduced as a specialist or co-leading a workstream</w:t>
            </w:r>
          </w:p>
        </w:tc>
      </w:tr>
      <w:tr>
        <w:trPr>
          <w:cantSplit/>
          <w:tblHeader w:val="false"/>
        </w:trPr>
        <w:tc>
          <w:tcPr>
            <w:tcW w:type="dxa" w:w="2246"/>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101828"/>
                <w:sz w:val="18"/>
                <w:szCs w:val="18"/>
              </w:rPr>
              <w:t xml:space="preserve">Communication</w:t>
            </w:r>
          </w:p>
        </w:tc>
        <w:tc>
          <w:tcPr>
            <w:tcW w:type="dxa" w:w="7114"/>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Use the agency's channel, tone and meeting protocol when white-label</w:t>
            </w:r>
          </w:p>
        </w:tc>
      </w:tr>
      <w:tr>
        <w:trPr>
          <w:cantSplit/>
          <w:tblHeader w:val="false"/>
        </w:trPr>
        <w:tc>
          <w:tcPr>
            <w:tcW w:type="dxa" w:w="2246"/>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101828"/>
                <w:sz w:val="18"/>
                <w:szCs w:val="18"/>
              </w:rPr>
              <w:t xml:space="preserve">Commercial confidentiality</w:t>
            </w:r>
          </w:p>
        </w:tc>
        <w:tc>
          <w:tcPr>
            <w:tcW w:type="dxa" w:w="7114"/>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Never discuss ADelier pricing, margins or other agency relationships with the end client</w:t>
            </w:r>
          </w:p>
        </w:tc>
      </w:tr>
      <w:tr>
        <w:trPr>
          <w:cantSplit/>
          <w:tblHeader w:val="false"/>
        </w:trPr>
        <w:tc>
          <w:tcPr>
            <w:tcW w:type="dxa" w:w="2246"/>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101828"/>
                <w:sz w:val="18"/>
                <w:szCs w:val="18"/>
              </w:rPr>
              <w:t xml:space="preserve">Brand control</w:t>
            </w:r>
          </w:p>
        </w:tc>
        <w:tc>
          <w:tcPr>
            <w:tcW w:type="dxa" w:w="7114"/>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Use agency templates and identity when agreed; preserve ADelier's internal quality standards</w:t>
            </w:r>
          </w:p>
        </w:tc>
      </w:tr>
      <w:tr>
        <w:trPr>
          <w:cantSplit/>
          <w:tblHeader w:val="false"/>
        </w:trPr>
        <w:tc>
          <w:tcPr>
            <w:tcW w:type="dxa" w:w="2246"/>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101828"/>
                <w:sz w:val="18"/>
                <w:szCs w:val="18"/>
              </w:rPr>
              <w:t xml:space="preserve">Case-study permission</w:t>
            </w:r>
          </w:p>
        </w:tc>
        <w:tc>
          <w:tcPr>
            <w:tcW w:type="dxa" w:w="7114"/>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No public reference, screenshot, logo or result without written approval</w:t>
            </w:r>
          </w:p>
        </w:tc>
      </w:tr>
      <w:tr>
        <w:trPr>
          <w:cantSplit/>
          <w:tblHeader w:val="false"/>
        </w:trPr>
        <w:tc>
          <w:tcPr>
            <w:tcW w:type="dxa" w:w="2246"/>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101828"/>
                <w:sz w:val="18"/>
                <w:szCs w:val="18"/>
              </w:rPr>
              <w:t xml:space="preserve">Ownership</w:t>
            </w:r>
          </w:p>
        </w:tc>
        <w:tc>
          <w:tcPr>
            <w:tcW w:type="dxa" w:w="7114"/>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Define who owns source files, final deliverables, frameworks and reusable methods</w:t>
            </w:r>
          </w:p>
        </w:tc>
      </w:tr>
      <w:tr>
        <w:trPr>
          <w:cantSplit/>
          <w:tblHeader w:val="false"/>
        </w:trPr>
        <w:tc>
          <w:tcPr>
            <w:tcW w:type="dxa" w:w="2246"/>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101828"/>
                <w:sz w:val="18"/>
                <w:szCs w:val="18"/>
              </w:rPr>
              <w:t xml:space="preserve">Escalation</w:t>
            </w:r>
          </w:p>
        </w:tc>
        <w:tc>
          <w:tcPr>
            <w:tcW w:type="dxa" w:w="7114"/>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Inform the agency first when a client request affects scope, quality, policy or risk</w:t>
            </w:r>
          </w:p>
        </w:tc>
      </w:tr>
    </w:tbl>
    <w:p>
      <w:pPr>
        <w:spacing w:after="160" w:before="0"/>
      </w:pPr>
    </w:p>
    <w:p>
      <w:pPr>
        <w:pStyle w:val="Heading3"/>
        <w:keepNext/>
        <w:keepLines/>
        <w:widowControl/>
      </w:pPr>
      <w:r>
        <w:rPr>
          <w:rFonts w:ascii="Inter" w:hAnsi="Inter" w:eastAsia="Inter" w:cs="Inter"/>
          <w:color w:val="315BFF"/>
        </w:rPr>
        <w:t xml:space="preserve">White-label behavior</w:t>
      </w:r>
    </w:p>
    <w:p>
      <w:pPr>
        <w:spacing w:after="140"/>
      </w:pPr>
      <w:r>
        <w:rPr>
          <w:rFonts w:ascii="Inter" w:hAnsi="Inter" w:eastAsia="Inter" w:cs="Inter"/>
          <w:color w:val="101828"/>
        </w:rPr>
        <w:t xml:space="preserve">Use an agreed email identity and meeting introduction; do not promote ADelier in client-facing documents unless permitted; never market to protected client contacts; keep notes and files inside agreed systems; route commercial conversations through the agency; maintain the same truthfulness and standards as named work.</w:t>
      </w:r>
    </w:p>
    <w:p>
      <w:pPr>
        <w:pStyle w:val="Heading3"/>
        <w:keepNext/>
        <w:keepLines/>
        <w:widowControl/>
      </w:pPr>
      <w:r>
        <w:rPr>
          <w:rFonts w:ascii="Inter" w:hAnsi="Inter" w:eastAsia="Inter" w:cs="Inter"/>
          <w:color w:val="315BFF"/>
        </w:rPr>
        <w:t xml:space="preserve">Quarterly agency review</w:t>
      </w:r>
    </w:p>
    <w:p>
      <w:pPr>
        <w:spacing w:after="140"/>
      </w:pPr>
      <w:r>
        <w:rPr>
          <w:rFonts w:ascii="Inter" w:hAnsi="Inter" w:eastAsia="Inter" w:cs="Inter"/>
          <w:color w:val="101828"/>
        </w:rPr>
        <w:t xml:space="preserve">Cover pipeline and forecast capacity, service performance and turnaround, quality feedback and rework, margin and scope patterns, capability gaps and training opportunities, client satisfaction and risks, proof that can be captured with permission, and changes to protected-account status.</w:t>
      </w:r>
    </w:p>
    <w:p>
      <w:pPr>
        <w:pageBreakBefore/>
        <w:spacing w:after="0" w:before="1800"/>
      </w:pPr>
    </w:p>
    <w:tbl>
      <w:tblPr>
        <w:tblW w:type="dxa" w:w="2600"/>
        <w:jc w:val="left"/>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
        <w:gridCol w:w="1880"/>
        <w:gridCol w:w="360"/>
      </w:tblGrid>
      <w:tr>
        <w:trPr>
          <w:trHeight w:val="260" w:hRule="exact"/>
          <w:tblHeader w:val="true"/>
          <w:cantSplit/>
        </w:trPr>
        <w:tc>
          <w:tcPr>
            <w:tcW w:type="dxa" w:w="360"/>
            <w:tcBorders>
              <w:top w:val="single" w:color="315BFF" w:sz="20"/>
              <w:left w:val="single" w:color="315BFF" w:sz="20"/>
              <w:bottom w:val="none" w:color="FFFFFF" w:sz="0"/>
              <w:right w:val="none" w:color="FFFFFF" w:sz="0"/>
            </w:tcBorders>
            <w:tcMar>
              <w:top w:type="dxa" w:w="0"/>
              <w:left w:type="dxa" w:w="0"/>
              <w:bottom w:type="dxa" w:w="0"/>
              <w:right w:type="dxa" w:w="0"/>
            </w:tcMar>
          </w:tcPr>
          <w:p>
            <w:pPr>
              <w:spacing w:after="0" w:line="20" w:lineRule="exact"/>
            </w:pPr>
            <w:r>
              <w:rPr>
                <w:sz w:val="2"/>
                <w:szCs w:val="2"/>
              </w:rPr>
              <w:t xml:space="preserve"/>
            </w:r>
          </w:p>
        </w:tc>
        <w:tc>
          <w:tcPr>
            <w:tcW w:type="dxa" w:w="1880"/>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line="20" w:lineRule="exact"/>
            </w:pPr>
            <w:r>
              <w:rPr>
                <w:sz w:val="2"/>
                <w:szCs w:val="2"/>
              </w:rPr>
              <w:t xml:space="preserve"/>
            </w:r>
          </w:p>
        </w:tc>
        <w:tc>
          <w:tcPr>
            <w:tcW w:type="dxa" w:w="360"/>
            <w:tcBorders>
              <w:top w:val="single" w:color="315BFF" w:sz="20"/>
              <w:left w:val="none" w:color="FFFFFF" w:sz="0"/>
              <w:bottom w:val="none" w:color="FFFFFF" w:sz="0"/>
              <w:right w:val="single" w:color="315BFF" w:sz="20"/>
            </w:tcBorders>
            <w:tcMar>
              <w:top w:type="dxa" w:w="0"/>
              <w:left w:type="dxa" w:w="0"/>
              <w:bottom w:type="dxa" w:w="0"/>
              <w:right w:type="dxa" w:w="0"/>
            </w:tcMar>
          </w:tcPr>
          <w:p>
            <w:pPr>
              <w:spacing w:after="0" w:line="20" w:lineRule="exact"/>
            </w:pPr>
            <w:r>
              <w:rPr>
                <w:sz w:val="2"/>
                <w:szCs w:val="2"/>
              </w:rPr>
              <w:t xml:space="preserve"/>
            </w:r>
          </w:p>
        </w:tc>
      </w:tr>
      <w:tr>
        <w:trPr>
          <w:cantSplit/>
        </w:trPr>
        <w:tc>
          <w:tcPr>
            <w:tcW w:type="dxa" w:w="360"/>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line="20" w:lineRule="exact"/>
            </w:pPr>
            <w:r>
              <w:rPr>
                <w:sz w:val="2"/>
                <w:szCs w:val="2"/>
              </w:rPr>
              <w:t xml:space="preserve"/>
            </w:r>
          </w:p>
        </w:tc>
        <w:tc>
          <w:tcPr>
            <w:tcW w:type="dxa" w:w="1880"/>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1400" w:lineRule="exact"/>
              <w:jc w:val="center"/>
            </w:pPr>
            <w:r>
              <w:rPr>
                <w:rFonts w:ascii="Manrope" w:cs="Manrope" w:eastAsia="Manrope" w:hAnsi="Manrope"/>
                <w:b/>
                <w:bCs/>
                <w:color w:val="315BFF"/>
                <w:sz w:val="120"/>
                <w:szCs w:val="120"/>
              </w:rPr>
              <w:t xml:space="preserve">05</w:t>
            </w:r>
          </w:p>
        </w:tc>
        <w:tc>
          <w:tcPr>
            <w:tcW w:type="dxa" w:w="360"/>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line="20" w:lineRule="exact"/>
            </w:pPr>
            <w:r>
              <w:rPr>
                <w:sz w:val="2"/>
                <w:szCs w:val="2"/>
              </w:rPr>
              <w:t xml:space="preserve"/>
            </w:r>
          </w:p>
        </w:tc>
      </w:tr>
      <w:tr>
        <w:trPr>
          <w:trHeight w:val="260" w:hRule="exact"/>
          <w:cantSplit/>
        </w:trPr>
        <w:tc>
          <w:tcPr>
            <w:tcW w:type="dxa" w:w="360"/>
            <w:tcBorders>
              <w:top w:val="none" w:color="FFFFFF" w:sz="0"/>
              <w:left w:val="single" w:color="315BFF" w:sz="20"/>
              <w:bottom w:val="single" w:color="315BFF" w:sz="20"/>
              <w:right w:val="none" w:color="FFFFFF" w:sz="0"/>
            </w:tcBorders>
            <w:tcMar>
              <w:top w:type="dxa" w:w="0"/>
              <w:left w:type="dxa" w:w="0"/>
              <w:bottom w:type="dxa" w:w="0"/>
              <w:right w:type="dxa" w:w="0"/>
            </w:tcMar>
          </w:tcPr>
          <w:p>
            <w:pPr>
              <w:spacing w:after="0" w:line="20" w:lineRule="exact"/>
            </w:pPr>
            <w:r>
              <w:rPr>
                <w:sz w:val="2"/>
                <w:szCs w:val="2"/>
              </w:rPr>
              <w:t xml:space="preserve"/>
            </w:r>
          </w:p>
        </w:tc>
        <w:tc>
          <w:tcPr>
            <w:tcW w:type="dxa" w:w="1880"/>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line="20" w:lineRule="exact"/>
            </w:pPr>
            <w:r>
              <w:rPr>
                <w:sz w:val="2"/>
                <w:szCs w:val="2"/>
              </w:rPr>
              <w:t xml:space="preserve"/>
            </w:r>
          </w:p>
        </w:tc>
        <w:tc>
          <w:tcPr>
            <w:tcW w:type="dxa" w:w="360"/>
            <w:tcBorders>
              <w:top w:val="none" w:color="FFFFFF" w:sz="0"/>
              <w:left w:val="none" w:color="FFFFFF" w:sz="0"/>
              <w:bottom w:val="single" w:color="315BFF" w:sz="20"/>
              <w:right w:val="single" w:color="315BFF" w:sz="20"/>
            </w:tcBorders>
            <w:tcMar>
              <w:top w:type="dxa" w:w="0"/>
              <w:left w:type="dxa" w:w="0"/>
              <w:bottom w:type="dxa" w:w="0"/>
              <w:right w:type="dxa" w:w="0"/>
            </w:tcMar>
          </w:tcPr>
          <w:p>
            <w:pPr>
              <w:spacing w:after="0" w:line="20" w:lineRule="exact"/>
            </w:pPr>
            <w:r>
              <w:rPr>
                <w:sz w:val="2"/>
                <w:szCs w:val="2"/>
              </w:rPr>
              <w:t xml:space="preserve"/>
            </w:r>
          </w:p>
        </w:tc>
      </w:tr>
    </w:tbl>
    <w:p>
      <w:pPr>
        <w:pStyle w:val="Heading1"/>
        <w:keepNext/>
        <w:keepLines/>
        <w:widowControl/>
        <w:spacing w:after="200" w:before="360"/>
      </w:pPr>
      <w:r>
        <w:rPr>
          <w:rFonts w:ascii="Manrope" w:hAnsi="Manrope" w:eastAsia="Manrope" w:cs="Manrope"/>
          <w:color w:val="101828"/>
        </w:rPr>
        <w:t xml:space="preserve">Launch Roadmap</w:t>
      </w:r>
    </w:p>
    <w:p>
      <w:pPr>
        <w:pBdr>
          <w:bottom w:val="single" w:color="3FAF8F" w:sz="18" w:space="1"/>
        </w:pBdr>
        <w:spacing w:after="300"/>
        <w:ind w:right="7200"/>
      </w:pPr>
    </w:p>
    <w:p>
      <w:pPr>
        <w:spacing w:after="400" w:line="380"/>
      </w:pPr>
      <w:r>
        <w:rPr>
          <w:rFonts w:ascii="Source Serif 4" w:cs="Source Serif 4" w:eastAsia="Source Serif 4" w:hAnsi="Source Serif 4"/>
          <w:i/>
          <w:iCs/>
          <w:color w:val="101828"/>
          <w:sz w:val="30"/>
          <w:szCs w:val="30"/>
        </w:rPr>
        <w:t xml:space="preserve">Build foundations, proof, repeatability and expansion, in that order.</w:t>
      </w:r>
    </w:p>
    <w:p>
      <w:pPr>
        <w:keepNext/>
        <w:spacing w:after="40" w:before="360"/>
      </w:pPr>
      <w:r>
        <w:rPr>
          <w:rFonts w:ascii="Inter" w:hAnsi="Inter" w:eastAsia="Inter" w:cs="Inter"/>
          <w:b/>
          <w:bCs/>
          <w:color w:val="315BFF"/>
          <w:spacing w:val="20"/>
          <w:sz w:val="16"/>
          <w:szCs w:val="16"/>
        </w:rPr>
        <w:t xml:space="preserve">5.1 ROADMAP</w:t>
      </w:r>
    </w:p>
    <w:p>
      <w:pPr>
        <w:pStyle w:val="Heading2"/>
        <w:keepNext/>
        <w:keepLines/>
        <w:widowControl/>
        <w:spacing w:before="0"/>
      </w:pPr>
      <w:r>
        <w:rPr>
          <w:rFonts w:ascii="Manrope" w:hAnsi="Manrope" w:eastAsia="Manrope" w:cs="Manrope"/>
          <w:color w:val="101828"/>
        </w:rPr>
        <w:t xml:space="preserve">The first twelve months</w:t>
      </w:r>
    </w:p>
    <w:p>
      <w:pPr>
        <w:spacing w:after="140"/>
      </w:pPr>
      <w:r>
        <w:rPr>
          <w:rFonts w:ascii="Inter" w:hAnsi="Inter" w:eastAsia="Inter" w:cs="Inter"/>
          <w:color w:val="101828"/>
        </w:rPr>
        <w:t xml:space="preserve">The first year prioritizes proof and repeatability over apparent breadth. Every new offer, channel or claim earns its place through demand, delivery quality and economics.</w:t>
      </w:r>
    </w:p>
    <w:p>
      <w:pPr>
        <w:pStyle w:val="Heading3"/>
        <w:keepNext/>
        <w:keepLines/>
        <w:widowControl/>
      </w:pPr>
      <w:r>
        <w:rPr>
          <w:rFonts w:ascii="Inter" w:hAnsi="Inter" w:eastAsia="Inter" w:cs="Inter"/>
          <w:color w:val="315BFF"/>
        </w:rPr>
        <w:t xml:space="preserve">Days 0 to 30: foundation</w:t>
      </w:r>
    </w:p>
    <w:p>
      <w:pPr>
        <w:pStyle w:val="ListParagraph"/>
        <w:numPr>
          <w:ilvl w:val="0"/>
          <w:numId w:val="2"/>
        </w:numPr>
        <w:spacing w:after="60"/>
      </w:pPr>
      <w:r>
        <w:rPr>
          <w:rFonts w:ascii="Inter" w:hAnsi="Inter" w:eastAsia="Inter" w:cs="Inter"/>
          <w:b/>
          <w:bCs/>
          <w:color w:val="101828"/>
        </w:rPr>
        <w:t>Strategy. Confirm the agency beachhead and direct-brand destination; choose two or three high-fit agency types; confirm the five launch products and define what ADelier will not offer yet.</w:t>
      </w:r>
    </w:p>
    <w:p>
      <w:pPr>
        <w:pStyle w:val="ListParagraph"/>
        <w:numPr>
          <w:ilvl w:val="0"/>
          <w:numId w:val="2"/>
        </w:numPr>
        <w:spacing w:after="60"/>
      </w:pPr>
      <w:r>
        <w:rPr>
          <w:rFonts w:ascii="Inter" w:hAnsi="Inter" w:eastAsia="Inter" w:cs="Inter"/>
          <w:color w:val="101828"/>
        </w:rPr>
        <w:t>Brand and legal. Complete US and EU trademark, company-name, domain and social-handle clearance, including common misspellings; decide the legal company name; deploy the approved v1.5 logo package; create core templates, a Manrope/Inter presentation master and a basic website.</w:t>
      </w:r>
    </w:p>
    <w:p>
      <w:pPr>
        <w:pStyle w:val="ListParagraph"/>
        <w:numPr>
          <w:ilvl w:val="0"/>
          <w:numId w:val="2"/>
        </w:numPr>
        <w:spacing w:after="60"/>
      </w:pPr>
      <w:r>
        <w:rPr>
          <w:rFonts w:ascii="Inter" w:hAnsi="Inter" w:eastAsia="Inter" w:cs="Inter"/>
          <w:b/>
          <w:bCs/>
          <w:color w:val="101828"/>
        </w:rPr>
        <w:t xml:space="preserve">Contracts.</w:t>
      </w:r>
      <w:r>
        <w:rPr>
          <w:rFonts w:ascii="Inter" w:hAnsi="Inter" w:eastAsia="Inter" w:cs="Inter"/>
          <w:color w:val="101828"/>
        </w:rPr>
        <w:t xml:space="preserve"> Prepare agency account-protection, confidentiality, intellectual-property and AI contract language with qualified legal support.</w:t>
      </w:r>
    </w:p>
    <w:p>
      <w:pPr>
        <w:pStyle w:val="ListParagraph"/>
        <w:numPr>
          <w:ilvl w:val="0"/>
          <w:numId w:val="2"/>
        </w:numPr>
        <w:spacing w:after="60"/>
      </w:pPr>
      <w:r>
        <w:rPr>
          <w:rFonts w:ascii="Inter" w:hAnsi="Inter" w:eastAsia="Inter" w:cs="Inter"/>
          <w:color w:val="101828"/>
        </w:rPr>
        <w:t>Commercial system. Build agency and training credentials decks using the approved presentation hierarchy, proposal templates and a diagnostic sample; define partner, delivery and standalone-training price architecture; define qualification, scoping and change control; set up separate CRM routes for delivery and training; recruit a small number of pilot partners and program sponsors.</w:t>
      </w:r>
    </w:p>
    <w:p>
      <w:pPr>
        <w:pStyle w:val="ListParagraph"/>
        <w:keepLines/>
        <w:numPr>
          <w:ilvl w:val="0"/>
          <w:numId w:val="2"/>
        </w:numPr>
        <w:spacing w:after="60"/>
      </w:pPr>
      <w:r>
        <w:rPr>
          <w:rFonts w:ascii="Inter" w:hAnsi="Inter" w:eastAsia="Inter" w:cs="Inter"/>
          <w:b/>
          <w:bCs/>
          <w:color w:val="101828"/>
        </w:rPr>
        <w:t>Delivery and training. Complete Amazon Conversion Foundations and Agency Marketplace Enablement materials; create the training proposal, participant brief, pre-work form, facilitator deck, workbook and 30-day review; define program fees, participant limits, customization and cancellation rules; set approved AI tools, data rules and review requirements.</w:t>
      </w:r>
    </w:p>
    <w:p>
      <w:pPr>
        <w:spacing w:after="80" w:before="0"/>
      </w:pPr>
    </w:p>
    <w:p>
      <w:pPr>
        <w:pStyle w:val="Heading3"/>
        <w:keepNext/>
        <w:keepLines/>
        <w:widowControl/>
      </w:pPr>
      <w:r>
        <w:rPr>
          <w:rFonts w:ascii="Inter" w:hAnsi="Inter" w:eastAsia="Inter" w:cs="Inter"/>
          <w:color w:val="315BFF"/>
        </w:rPr>
        <w:t xml:space="preserve">Days 31 to 90: proof</w:t>
      </w:r>
    </w:p>
    <w:p>
      <w:pPr>
        <w:pStyle w:val="ListParagraph"/>
        <w:numPr>
          <w:ilvl w:val="0"/>
          <w:numId w:val="2"/>
        </w:numPr>
        <w:spacing w:after="60"/>
      </w:pPr>
      <w:r>
        <w:rPr>
          <w:rFonts w:ascii="Inter" w:hAnsi="Inter" w:eastAsia="Inter" w:cs="Inter"/>
          <w:color w:val="101828"/>
        </w:rPr>
        <w:t>Deliver paid pilots of the first agency projects and both launch training programs, with clear entry and exit criteria.</w:t>
      </w:r>
    </w:p>
    <w:p>
      <w:pPr>
        <w:pStyle w:val="ListParagraph"/>
        <w:numPr>
          <w:ilvl w:val="0"/>
          <w:numId w:val="2"/>
        </w:numPr>
        <w:spacing w:after="60"/>
      </w:pPr>
      <w:r>
        <w:rPr>
          <w:rFonts w:ascii="Inter" w:hAnsi="Inter" w:eastAsia="Inter" w:cs="Inter"/>
          <w:color w:val="101828"/>
        </w:rPr>
        <w:t>Capture baseline, intervention, output, result and capability evidence; for training, record applied-output quality, implementation commitments and 30-day adoption. Hold a retrospective after every engagement.</w:t>
      </w:r>
    </w:p>
    <w:p>
      <w:pPr>
        <w:pStyle w:val="ListParagraph"/>
        <w:numPr>
          <w:ilvl w:val="0"/>
          <w:numId w:val="2"/>
        </w:numPr>
        <w:spacing w:after="60"/>
      </w:pPr>
      <w:r>
        <w:rPr>
          <w:rFonts w:ascii="Inter" w:hAnsi="Inter" w:eastAsia="Inter" w:cs="Inter"/>
          <w:color w:val="101828"/>
        </w:rPr>
        <w:t xml:space="preserve">Refine scoping, templates, turnaround assumptions and role definitions.</w:t>
      </w:r>
    </w:p>
    <w:p>
      <w:pPr>
        <w:pStyle w:val="ListParagraph"/>
        <w:numPr>
          <w:ilvl w:val="0"/>
          <w:numId w:val="2"/>
        </w:numPr>
        <w:spacing w:after="60"/>
      </w:pPr>
      <w:r>
        <w:rPr>
          <w:rFonts w:ascii="Inter" w:hAnsi="Inter" w:eastAsia="Inter" w:cs="Inter"/>
          <w:color w:val="101828"/>
        </w:rPr>
        <w:t xml:space="preserve">Secure permission for anonymized or named proof, and publish content based on genuine learning.</w:t>
      </w:r>
    </w:p>
    <w:p>
      <w:pPr>
        <w:pStyle w:val="ListParagraph"/>
        <w:numPr>
          <w:ilvl w:val="0"/>
          <w:numId w:val="2"/>
        </w:numPr>
        <w:spacing w:after="60"/>
      </w:pPr>
      <w:r>
        <w:rPr>
          <w:rFonts w:ascii="Inter" w:hAnsi="Inter" w:eastAsia="Inter" w:cs="Inter"/>
          <w:color w:val="101828"/>
        </w:rPr>
        <w:t xml:space="preserve">Identify one or two recurring partner accounts suitable for a monthly pod.</w:t>
      </w:r>
    </w:p>
    <w:p>
      <w:pPr>
        <w:spacing w:after="80" w:before="0"/>
      </w:pPr>
    </w:p>
    <w:p>
      <w:pPr>
        <w:pStyle w:val="Heading3"/>
        <w:keepNext/>
        <w:keepLines/>
        <w:widowControl/>
      </w:pPr>
      <w:r>
        <w:rPr>
          <w:rFonts w:ascii="Inter" w:hAnsi="Inter" w:eastAsia="Inter" w:cs="Inter"/>
          <w:color w:val="315BFF"/>
        </w:rPr>
        <w:t xml:space="preserve">Months 3 to 6: repeatability</w:t>
      </w:r>
    </w:p>
    <w:p>
      <w:pPr>
        <w:pStyle w:val="ListParagraph"/>
        <w:numPr>
          <w:ilvl w:val="0"/>
          <w:numId w:val="2"/>
        </w:numPr>
        <w:spacing w:after="60"/>
      </w:pPr>
      <w:r>
        <w:rPr>
          <w:rFonts w:ascii="Inter" w:hAnsi="Inter" w:eastAsia="Inter" w:cs="Inter"/>
          <w:color w:val="101828"/>
        </w:rPr>
        <w:t xml:space="preserve">Productize the recurring agency pod; standardize the diagnostic without making it generic.</w:t>
      </w:r>
    </w:p>
    <w:p>
      <w:pPr>
        <w:pStyle w:val="ListParagraph"/>
        <w:numPr>
          <w:ilvl w:val="0"/>
          <w:numId w:val="2"/>
        </w:numPr>
        <w:spacing w:after="60"/>
      </w:pPr>
      <w:r>
        <w:rPr>
          <w:rFonts w:ascii="Inter" w:hAnsi="Inter" w:eastAsia="Inter" w:cs="Inter"/>
          <w:color w:val="101828"/>
        </w:rPr>
        <w:t>Standardize the two launch training programs without turning them into generic course decks; create facilitator guidance and program QA standards.</w:t>
      </w:r>
    </w:p>
    <w:p>
      <w:pPr>
        <w:pStyle w:val="ListParagraph"/>
        <w:numPr>
          <w:ilvl w:val="0"/>
          <w:numId w:val="2"/>
        </w:numPr>
        <w:spacing w:after="60"/>
      </w:pPr>
      <w:r>
        <w:rPr>
          <w:rFonts w:ascii="Inter" w:hAnsi="Inter" w:eastAsia="Inter" w:cs="Inter"/>
          <w:color w:val="101828"/>
        </w:rPr>
        <w:t>Review training pricing, participant caps, customization effort, preparation time, follow-through and gross margin; decide whether AI for Marketplace Teams has reached the standalone-launch threshold.</w:t>
      </w:r>
    </w:p>
    <w:p>
      <w:pPr>
        <w:pStyle w:val="ListParagraph"/>
        <w:numPr>
          <w:ilvl w:val="0"/>
          <w:numId w:val="2"/>
        </w:numPr>
        <w:spacing w:after="60"/>
      </w:pPr>
      <w:r>
        <w:rPr>
          <w:rFonts w:ascii="Inter" w:hAnsi="Inter" w:eastAsia="Inter" w:cs="Inter"/>
          <w:color w:val="101828"/>
        </w:rPr>
        <w:t xml:space="preserve">Build a reusable marketplace knowledge library and improve the AI prompt, evaluation and exception library.</w:t>
      </w:r>
    </w:p>
    <w:p>
      <w:pPr>
        <w:pStyle w:val="ListParagraph"/>
        <w:numPr>
          <w:ilvl w:val="0"/>
          <w:numId w:val="2"/>
        </w:numPr>
        <w:spacing w:after="60"/>
      </w:pPr>
      <w:r>
        <w:rPr>
          <w:rFonts w:ascii="Inter" w:hAnsi="Inter" w:eastAsia="Inter" w:cs="Inter"/>
          <w:color w:val="101828"/>
        </w:rPr>
        <w:t xml:space="preserve">Create referral motions for agencies, consultants and specialists; publish at least three credible case examples.</w:t>
      </w:r>
    </w:p>
    <w:p>
      <w:pPr>
        <w:pStyle w:val="ListParagraph"/>
        <w:numPr>
          <w:ilvl w:val="0"/>
          <w:numId w:val="2"/>
        </w:numPr>
        <w:spacing w:after="60"/>
      </w:pPr>
      <w:r>
        <w:rPr>
          <w:rFonts w:ascii="Inter" w:hAnsi="Inter" w:eastAsia="Inter" w:cs="Inter"/>
          <w:color w:val="101828"/>
        </w:rPr>
        <w:t xml:space="preserve">Review pricing against delivery cost, willingness to pay and rework; introduce quarterly partner reviews.</w:t>
      </w:r>
    </w:p>
    <w:p>
      <w:pPr>
        <w:pStyle w:val="ListParagraph"/>
        <w:numPr>
          <w:ilvl w:val="0"/>
          <w:numId w:val="2"/>
        </w:numPr>
        <w:spacing w:after="60"/>
      </w:pPr>
      <w:r>
        <w:rPr>
          <w:rFonts w:ascii="Inter" w:hAnsi="Inter" w:eastAsia="Inter" w:cs="Inter"/>
          <w:color w:val="101828"/>
        </w:rPr>
        <w:t xml:space="preserve">Begin targeted direct-brand outreach using accumulated proof, and review next-wave offer triggers.</w:t>
      </w:r>
    </w:p>
    <w:p>
      <w:pPr>
        <w:spacing w:after="80" w:before="0"/>
      </w:pPr>
    </w:p>
    <w:p>
      <w:pPr>
        <w:pStyle w:val="Heading3"/>
        <w:keepNext/>
        <w:keepLines/>
        <w:widowControl/>
      </w:pPr>
      <w:r>
        <w:rPr>
          <w:rFonts w:ascii="Inter" w:hAnsi="Inter" w:eastAsia="Inter" w:cs="Inter"/>
          <w:color w:val="315BFF"/>
        </w:rPr>
        <w:t xml:space="preserve">Months 6 to 12: expansion</w:t>
      </w:r>
    </w:p>
    <w:p>
      <w:pPr>
        <w:pStyle w:val="ListParagraph"/>
        <w:numPr>
          <w:ilvl w:val="0"/>
          <w:numId w:val="2"/>
        </w:numPr>
        <w:spacing w:after="60"/>
      </w:pPr>
      <w:r>
        <w:rPr>
          <w:rFonts w:ascii="Inter" w:hAnsi="Inter" w:eastAsia="Inter" w:cs="Inter"/>
          <w:color w:val="101828"/>
        </w:rPr>
        <w:t xml:space="preserve">Grow direct-brand pipeline without weakening protected agency relationships.</w:t>
      </w:r>
    </w:p>
    <w:p>
      <w:pPr>
        <w:pStyle w:val="ListParagraph"/>
        <w:numPr>
          <w:ilvl w:val="0"/>
          <w:numId w:val="2"/>
        </w:numPr>
        <w:spacing w:after="60"/>
      </w:pPr>
      <w:r>
        <w:rPr>
          <w:rFonts w:ascii="Inter" w:hAnsi="Inter" w:eastAsia="Inter" w:cs="Inter"/>
          <w:color w:val="101828"/>
        </w:rPr>
        <w:t xml:space="preserve">Introduce portfolio and transformation programs and further training programs only where triggers are met.</w:t>
      </w:r>
    </w:p>
    <w:p>
      <w:pPr>
        <w:pStyle w:val="ListParagraph"/>
        <w:numPr>
          <w:ilvl w:val="0"/>
          <w:numId w:val="2"/>
        </w:numPr>
        <w:spacing w:after="60"/>
      </w:pPr>
      <w:r>
        <w:rPr>
          <w:rFonts w:ascii="Inter" w:hAnsi="Inter" w:eastAsia="Inter" w:cs="Inter"/>
          <w:color w:val="101828"/>
        </w:rPr>
        <w:t xml:space="preserve">Prepare TikTok Shop capability through pilots and platform-specific expertise, not an announcement alone.</w:t>
      </w:r>
    </w:p>
    <w:p>
      <w:pPr>
        <w:pStyle w:val="ListParagraph"/>
        <w:numPr>
          <w:ilvl w:val="0"/>
          <w:numId w:val="2"/>
        </w:numPr>
        <w:spacing w:after="60"/>
      </w:pPr>
      <w:r>
        <w:rPr>
          <w:rFonts w:ascii="Inter" w:hAnsi="Inter" w:eastAsia="Inter" w:cs="Inter"/>
          <w:color w:val="101828"/>
        </w:rPr>
        <w:t xml:space="preserve">Review whether a separate ADelier Academy is justified by repeatable curriculum, multiple facilitators and recurring demand.</w:t>
      </w:r>
    </w:p>
    <w:p>
      <w:pPr>
        <w:pStyle w:val="ListParagraph"/>
        <w:numPr>
          <w:ilvl w:val="0"/>
          <w:numId w:val="2"/>
        </w:numPr>
        <w:spacing w:after="60"/>
      </w:pPr>
      <w:r>
        <w:rPr>
          <w:rFonts w:ascii="Inter" w:hAnsi="Inter" w:eastAsia="Inter" w:cs="Inter"/>
          <w:color w:val="101828"/>
        </w:rPr>
        <w:t xml:space="preserve">Revisit the brand position and proof hierarchy based on actual win-loss and client feedback.</w:t>
      </w:r>
    </w:p>
    <w:p>
      <w:pPr>
        <w:spacing w:after="80" w:before="0"/>
      </w:pPr>
    </w:p>
    <w:p>
      <w:pPr>
        <w:keepNext/>
        <w:spacing w:after="40" w:before="360"/>
      </w:pPr>
      <w:r>
        <w:rPr>
          <w:rFonts w:ascii="Inter" w:hAnsi="Inter" w:eastAsia="Inter" w:cs="Inter"/>
          <w:b/>
          <w:bCs/>
          <w:color w:val="315BFF"/>
          <w:spacing w:val="20"/>
          <w:sz w:val="16"/>
          <w:szCs w:val="16"/>
        </w:rPr>
        <w:t xml:space="preserve">5.2 LAUNCH SCORECARD</w:t>
      </w:r>
    </w:p>
    <w:p>
      <w:pPr>
        <w:pStyle w:val="Heading2"/>
        <w:keepNext/>
        <w:keepLines/>
        <w:widowControl/>
        <w:spacing w:before="0"/>
      </w:pPr>
      <w:r>
        <w:rPr>
          <w:rFonts w:ascii="Manrope" w:hAnsi="Manrope" w:eastAsia="Manrope" w:cs="Manrope"/>
          <w:color w:val="101828"/>
        </w:rPr>
        <w:t xml:space="preserve">Measure whether the brand is becoming true</w:t>
      </w:r>
    </w:p>
    <w:tbl>
      <w:tblPr>
        <w:tblW w:type="dxa" w:w="9360"/>
        <w:tblBorders>
          <w:top w:val="nil" w:color="D9DEE8" w:sz="4"/>
          <w:left w:val="none" w:color="FFFFFF" w:sz="0"/>
          <w:bottom w:val="single" w:color="D9DEE8" w:sz="5" w:space="0"/>
          <w:right w:val="none" w:color="FFFFFF" w:sz="0"/>
          <w:insideH w:val="single" w:color="D9DEE8" w:sz="5" w:space="0"/>
          <w:insideV w:val="nil" w:color="FFFFFF" w:sz="0"/>
          <w:start w:val="nil"/>
          <w:end w:val="nil"/>
        </w:tblBorders>
        <w:tblLayout w:type="fixed"/>
      </w:tblPr>
      <w:tblGrid>
        <w:gridCol w:w="2059"/>
        <w:gridCol w:w="7301"/>
      </w:tblGrid>
      <w:tr>
        <w:trPr>
          <w:cantSplit/>
          <w:tblHeader w:val="true"/>
        </w:trPr>
        <w:tc>
          <w:tcPr>
            <w:tcW w:type="dxa" w:w="2059"/>
            <w:shd w:fill="101828" w:color="auto" w:val="clear"/>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FFFFFF"/>
                <w:sz w:val="18"/>
                <w:szCs w:val="18"/>
              </w:rPr>
              <w:t xml:space="preserve">Area</w:t>
            </w:r>
          </w:p>
        </w:tc>
        <w:tc>
          <w:tcPr>
            <w:tcW w:type="dxa" w:w="7301"/>
            <w:shd w:fill="101828" w:color="auto" w:val="clear"/>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FFFFFF"/>
                <w:sz w:val="18"/>
                <w:szCs w:val="18"/>
              </w:rPr>
              <w:t xml:space="preserve">Measures</w:t>
            </w:r>
          </w:p>
        </w:tc>
      </w:tr>
      <w:tr>
        <w:trPr>
          <w:cantSplit/>
          <w:tblHeader w:val="false"/>
        </w:trPr>
        <w:tc>
          <w:tcPr>
            <w:tcW w:type="dxa" w:w="2059"/>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101828"/>
                <w:sz w:val="18"/>
                <w:szCs w:val="18"/>
              </w:rPr>
              <w:t xml:space="preserve">Commercial</w:t>
            </w:r>
          </w:p>
        </w:tc>
        <w:tc>
          <w:tcPr>
            <w:tcW w:type="dxa" w:w="7301"/>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Qualified agency conversations per month; proposal-to-win rate by offer; average initial project value; share of clients moving to recurring work; revenue concentration by partner; gross margin by delivery model; direct-brand share of pipeline; training and follow-on revenue; referral share</w:t>
            </w:r>
          </w:p>
        </w:tc>
      </w:tr>
      <w:tr>
        <w:trPr>
          <w:cantSplit/>
          <w:tblHeader w:val="false"/>
        </w:trPr>
        <w:tc>
          <w:tcPr>
            <w:tcW w:type="dxa" w:w="2059"/>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101828"/>
                <w:sz w:val="18"/>
                <w:szCs w:val="18"/>
              </w:rPr>
              <w:t xml:space="preserve">Brand</w:t>
            </w:r>
          </w:p>
        </w:tc>
        <w:tc>
          <w:tcPr>
            <w:tcW w:type="dxa" w:w="7301"/>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Share of qualified prospects who correctly understand what ADelier does; association with marketplace expertise, quality, practical training and efficient delivery; website conversion by audience page; number of approved case examples; reasons won and lost</w:t>
            </w:r>
          </w:p>
        </w:tc>
      </w:tr>
      <w:tr>
        <w:trPr>
          <w:cantSplit/>
          <w:tblHeader w:val="false"/>
        </w:trPr>
        <w:tc>
          <w:tcPr>
            <w:tcW w:type="dxa" w:w="2059"/>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101828"/>
                <w:sz w:val="18"/>
                <w:szCs w:val="18"/>
              </w:rPr>
              <w:t xml:space="preserve">Delivery</w:t>
            </w:r>
          </w:p>
        </w:tc>
        <w:tc>
          <w:tcPr>
            <w:tcW w:type="dxa" w:w="7301"/>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On-time milestone rate; first-pass quality score; revision and rework rate; expert review completion; client decision delays; service issues by root cause; protected-account compliance; profitability by offer</w:t>
            </w:r>
          </w:p>
        </w:tc>
      </w:tr>
      <w:tr>
        <w:trPr>
          <w:cantSplit/>
          <w:tblHeader w:val="false"/>
        </w:trPr>
        <w:tc>
          <w:tcPr>
            <w:tcW w:type="dxa" w:w="2059"/>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101828"/>
                <w:sz w:val="18"/>
                <w:szCs w:val="18"/>
              </w:rPr>
              <w:t xml:space="preserve">Capability</w:t>
            </w:r>
          </w:p>
        </w:tc>
        <w:tc>
          <w:tcPr>
            <w:tcW w:type="dxa" w:w="7301"/>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Applied-output quality improvement; workflow adoption after 30, 60 and 90 days; internal owners established; client-produced work meeting the standard; reduction in cycle time or dependency</w:t>
            </w:r>
          </w:p>
        </w:tc>
      </w:tr>
      <w:tr>
        <w:trPr>
          <w:cantSplit/>
          <w:tblHeader w:val="false"/>
        </w:trPr>
        <w:tc>
          <w:tcPr>
            <w:tcW w:type="dxa" w:w="2059"/>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101828"/>
                <w:sz w:val="18"/>
                <w:szCs w:val="18"/>
              </w:rPr>
              <w:t>Training commercial performance</w:t>
            </w:r>
          </w:p>
        </w:tc>
        <w:tc>
          <w:tcPr>
            <w:tcW w:type="dxa" w:w="7301"/>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Qualified training inquiries; proposal-to-win rate; average program value; standalone training revenue; training gross margin; repeat-program rate; training-to-delivery and delivery-to-training conversion</w:t>
            </w:r>
          </w:p>
        </w:tc>
      </w:tr>
      <w:tr>
        <w:trPr>
          <w:cantSplit/>
          <w:tblHeader w:val="false"/>
        </w:trPr>
        <w:tc>
          <w:tcPr>
            <w:tcW w:type="dxa" w:w="2059"/>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101828"/>
                <w:sz w:val="18"/>
                <w:szCs w:val="18"/>
              </w:rPr>
              <w:t>Participant application</w:t>
            </w:r>
          </w:p>
        </w:tc>
        <w:tc>
          <w:tcPr>
            <w:tcW w:type="dxa" w:w="7301"/>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Pre- versus post-program output score; completion of live applied work; use of the workflow after 30, 60 and 90 days</w:t>
            </w:r>
          </w:p>
        </w:tc>
      </w:tr>
      <w:tr>
        <w:trPr>
          <w:cantSplit/>
          <w:tblHeader w:val="false"/>
        </w:trPr>
        <w:tc>
          <w:tcPr>
            <w:tcW w:type="dxa" w:w="2059"/>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101828"/>
                <w:sz w:val="18"/>
                <w:szCs w:val="18"/>
              </w:rPr>
              <w:t>Organizational capability</w:t>
            </w:r>
          </w:p>
        </w:tc>
        <w:tc>
          <w:tcPr>
            <w:tcW w:type="dxa" w:w="7301"/>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Internal owner established; review standard adopted; client-produced work meeting the quality bar; reduction in rework, cycle time or external dependency</w:t>
            </w:r>
          </w:p>
        </w:tc>
      </w:tr>
      <w:tr>
        <w:trPr>
          <w:cantSplit/>
          <w:tblHeader w:val="false"/>
        </w:trPr>
        <w:tc>
          <w:tcPr>
            <w:tcW w:type="dxa" w:w="2059"/>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101828"/>
                <w:sz w:val="18"/>
                <w:szCs w:val="18"/>
              </w:rPr>
              <w:t>Program quality</w:t>
            </w:r>
          </w:p>
        </w:tc>
        <w:tc>
          <w:tcPr>
            <w:tcW w:type="dxa" w:w="7301"/>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Relevance, facilitation quality, material usefulness, participant preparation, sponsor satisfaction and follow-through completion</w:t>
            </w:r>
          </w:p>
        </w:tc>
      </w:tr>
      <w:tr>
        <w:trPr>
          <w:cantSplit/>
          <w:tblHeader w:val="false"/>
        </w:trPr>
        <w:tc>
          <w:tcPr>
            <w:tcW w:type="dxa" w:w="2059"/>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101828"/>
                <w:sz w:val="18"/>
                <w:szCs w:val="18"/>
              </w:rPr>
              <w:t>Training proof</w:t>
            </w:r>
          </w:p>
        </w:tc>
        <w:tc>
          <w:tcPr>
            <w:tcW w:type="dxa" w:w="7301"/>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Permissioned examples; testimonials naming a specific capability gain; quality-score improvement; workflow adoption and measurable operational effect</w:t>
            </w:r>
          </w:p>
        </w:tc>
      </w:tr>
    </w:tbl>
    <w:p>
      <w:pPr>
        <w:spacing w:after="160" w:before="0"/>
      </w:pPr>
    </w:p>
    <w:p>
      <w:pPr>
        <w:pStyle w:val="Heading3"/>
        <w:keepNext/>
        <w:keepLines/>
        <w:widowControl/>
      </w:pPr>
      <w:r>
        <w:rPr>
          <w:rFonts w:ascii="Inter" w:hAnsi="Inter" w:eastAsia="Inter" w:cs="Inter"/>
          <w:color w:val="315BFF"/>
        </w:rPr>
        <w:t xml:space="preserve">Monthly founder review</w:t>
      </w:r>
    </w:p>
    <w:p>
      <w:pPr>
        <w:pStyle w:val="ListParagraph"/>
        <w:numPr>
          <w:ilvl w:val="0"/>
          <w:numId w:val="6"/>
        </w:numPr>
        <w:spacing w:after="60"/>
      </w:pPr>
      <w:r>
        <w:rPr>
          <w:rFonts w:ascii="Inter" w:hAnsi="Inter" w:eastAsia="Inter" w:cs="Inter"/>
          <w:color w:val="101828"/>
        </w:rPr>
        <w:t xml:space="preserve">Which segment and trigger produced the best opportunities?</w:t>
      </w:r>
    </w:p>
    <w:p>
      <w:pPr>
        <w:pStyle w:val="ListParagraph"/>
        <w:numPr>
          <w:ilvl w:val="0"/>
          <w:numId w:val="6"/>
        </w:numPr>
        <w:spacing w:after="60"/>
      </w:pPr>
      <w:r>
        <w:rPr>
          <w:rFonts w:ascii="Inter" w:hAnsi="Inter" w:eastAsia="Inter" w:cs="Inter"/>
          <w:color w:val="101828"/>
        </w:rPr>
        <w:t xml:space="preserve">Which offer created the most client value and the healthiest economics?</w:t>
      </w:r>
    </w:p>
    <w:p>
      <w:pPr>
        <w:pStyle w:val="ListParagraph"/>
        <w:numPr>
          <w:ilvl w:val="0"/>
          <w:numId w:val="6"/>
        </w:numPr>
        <w:spacing w:after="60"/>
      </w:pPr>
      <w:r>
        <w:rPr>
          <w:rFonts w:ascii="Inter" w:hAnsi="Inter" w:eastAsia="Inter" w:cs="Inter"/>
          <w:color w:val="101828"/>
        </w:rPr>
        <w:t xml:space="preserve">Where did quality or delivery fail, and what system changed as a result?</w:t>
      </w:r>
    </w:p>
    <w:p>
      <w:pPr>
        <w:pStyle w:val="ListParagraph"/>
        <w:numPr>
          <w:ilvl w:val="0"/>
          <w:numId w:val="6"/>
        </w:numPr>
        <w:spacing w:after="60"/>
      </w:pPr>
      <w:r>
        <w:rPr>
          <w:rFonts w:ascii="Inter" w:hAnsi="Inter" w:eastAsia="Inter" w:cs="Inter"/>
          <w:color w:val="101828"/>
        </w:rPr>
        <w:t xml:space="preserve">What proof can now be used responsibly in market communication?</w:t>
      </w:r>
    </w:p>
    <w:p>
      <w:pPr>
        <w:pStyle w:val="ListParagraph"/>
        <w:numPr>
          <w:ilvl w:val="0"/>
          <w:numId w:val="6"/>
        </w:numPr>
        <w:spacing w:after="60"/>
      </w:pPr>
      <w:r>
        <w:rPr>
          <w:rFonts w:ascii="Inter" w:hAnsi="Inter" w:eastAsia="Inter" w:cs="Inter"/>
          <w:color w:val="101828"/>
        </w:rPr>
        <w:t xml:space="preserve">Which new activity should be stopped to protect focus?</w:t>
      </w:r>
    </w:p>
    <w:p>
      <w:pPr>
        <w:spacing w:after="80" w:before="0"/>
      </w:pPr>
    </w:p>
    <w:p>
      <w:pPr>
        <w:pageBreakBefore/>
        <w:spacing w:after="0" w:before="1800"/>
      </w:pPr>
    </w:p>
    <w:tbl>
      <w:tblPr>
        <w:tblW w:type="dxa" w:w="2600"/>
        <w:jc w:val="left"/>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
        <w:gridCol w:w="1880"/>
        <w:gridCol w:w="360"/>
      </w:tblGrid>
      <w:tr>
        <w:trPr>
          <w:trHeight w:val="260" w:hRule="exact"/>
          <w:tblHeader w:val="true"/>
          <w:cantSplit/>
        </w:trPr>
        <w:tc>
          <w:tcPr>
            <w:tcW w:type="dxa" w:w="360"/>
            <w:tcBorders>
              <w:top w:val="single" w:color="315BFF" w:sz="20"/>
              <w:left w:val="single" w:color="315BFF" w:sz="20"/>
              <w:bottom w:val="none" w:color="FFFFFF" w:sz="0"/>
              <w:right w:val="none" w:color="FFFFFF" w:sz="0"/>
            </w:tcBorders>
            <w:tcMar>
              <w:top w:type="dxa" w:w="0"/>
              <w:left w:type="dxa" w:w="0"/>
              <w:bottom w:type="dxa" w:w="0"/>
              <w:right w:type="dxa" w:w="0"/>
            </w:tcMar>
          </w:tcPr>
          <w:p>
            <w:pPr>
              <w:spacing w:after="0" w:line="20" w:lineRule="exact"/>
            </w:pPr>
            <w:r>
              <w:rPr>
                <w:sz w:val="2"/>
                <w:szCs w:val="2"/>
              </w:rPr>
              <w:t xml:space="preserve"/>
            </w:r>
          </w:p>
        </w:tc>
        <w:tc>
          <w:tcPr>
            <w:tcW w:type="dxa" w:w="1880"/>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line="20" w:lineRule="exact"/>
            </w:pPr>
            <w:r>
              <w:rPr>
                <w:sz w:val="2"/>
                <w:szCs w:val="2"/>
              </w:rPr>
              <w:t xml:space="preserve"/>
            </w:r>
          </w:p>
        </w:tc>
        <w:tc>
          <w:tcPr>
            <w:tcW w:type="dxa" w:w="360"/>
            <w:tcBorders>
              <w:top w:val="single" w:color="315BFF" w:sz="20"/>
              <w:left w:val="none" w:color="FFFFFF" w:sz="0"/>
              <w:bottom w:val="none" w:color="FFFFFF" w:sz="0"/>
              <w:right w:val="single" w:color="315BFF" w:sz="20"/>
            </w:tcBorders>
            <w:tcMar>
              <w:top w:type="dxa" w:w="0"/>
              <w:left w:type="dxa" w:w="0"/>
              <w:bottom w:type="dxa" w:w="0"/>
              <w:right w:type="dxa" w:w="0"/>
            </w:tcMar>
          </w:tcPr>
          <w:p>
            <w:pPr>
              <w:spacing w:after="0" w:line="20" w:lineRule="exact"/>
            </w:pPr>
            <w:r>
              <w:rPr>
                <w:sz w:val="2"/>
                <w:szCs w:val="2"/>
              </w:rPr>
              <w:t xml:space="preserve"/>
            </w:r>
          </w:p>
        </w:tc>
      </w:tr>
      <w:tr>
        <w:trPr>
          <w:cantSplit/>
        </w:trPr>
        <w:tc>
          <w:tcPr>
            <w:tcW w:type="dxa" w:w="360"/>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line="20" w:lineRule="exact"/>
            </w:pPr>
            <w:r>
              <w:rPr>
                <w:sz w:val="2"/>
                <w:szCs w:val="2"/>
              </w:rPr>
              <w:t xml:space="preserve"/>
            </w:r>
          </w:p>
        </w:tc>
        <w:tc>
          <w:tcPr>
            <w:tcW w:type="dxa" w:w="1880"/>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0" w:before="0" w:line="1400" w:lineRule="exact"/>
              <w:jc w:val="center"/>
            </w:pPr>
            <w:r>
              <w:rPr>
                <w:rFonts w:ascii="Manrope" w:cs="Manrope" w:eastAsia="Manrope" w:hAnsi="Manrope"/>
                <w:b/>
                <w:bCs/>
                <w:color w:val="315BFF"/>
                <w:sz w:val="120"/>
                <w:szCs w:val="120"/>
              </w:rPr>
              <w:t xml:space="preserve">06</w:t>
            </w:r>
          </w:p>
        </w:tc>
        <w:tc>
          <w:tcPr>
            <w:tcW w:type="dxa" w:w="360"/>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line="20" w:lineRule="exact"/>
            </w:pPr>
            <w:r>
              <w:rPr>
                <w:sz w:val="2"/>
                <w:szCs w:val="2"/>
              </w:rPr>
              <w:t xml:space="preserve"/>
            </w:r>
          </w:p>
        </w:tc>
      </w:tr>
      <w:tr>
        <w:trPr>
          <w:trHeight w:val="260" w:hRule="exact"/>
          <w:cantSplit/>
        </w:trPr>
        <w:tc>
          <w:tcPr>
            <w:tcW w:type="dxa" w:w="360"/>
            <w:tcBorders>
              <w:top w:val="none" w:color="FFFFFF" w:sz="0"/>
              <w:left w:val="single" w:color="315BFF" w:sz="20"/>
              <w:bottom w:val="single" w:color="315BFF" w:sz="20"/>
              <w:right w:val="none" w:color="FFFFFF" w:sz="0"/>
            </w:tcBorders>
            <w:tcMar>
              <w:top w:type="dxa" w:w="0"/>
              <w:left w:type="dxa" w:w="0"/>
              <w:bottom w:type="dxa" w:w="0"/>
              <w:right w:type="dxa" w:w="0"/>
            </w:tcMar>
          </w:tcPr>
          <w:p>
            <w:pPr>
              <w:spacing w:after="0" w:line="20" w:lineRule="exact"/>
            </w:pPr>
            <w:r>
              <w:rPr>
                <w:sz w:val="2"/>
                <w:szCs w:val="2"/>
              </w:rPr>
              <w:t xml:space="preserve"/>
            </w:r>
          </w:p>
        </w:tc>
        <w:tc>
          <w:tcPr>
            <w:tcW w:type="dxa" w:w="1880"/>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line="20" w:lineRule="exact"/>
            </w:pPr>
            <w:r>
              <w:rPr>
                <w:sz w:val="2"/>
                <w:szCs w:val="2"/>
              </w:rPr>
              <w:t xml:space="preserve"/>
            </w:r>
          </w:p>
        </w:tc>
        <w:tc>
          <w:tcPr>
            <w:tcW w:type="dxa" w:w="360"/>
            <w:tcBorders>
              <w:top w:val="none" w:color="FFFFFF" w:sz="0"/>
              <w:left w:val="none" w:color="FFFFFF" w:sz="0"/>
              <w:bottom w:val="single" w:color="315BFF" w:sz="20"/>
              <w:right w:val="single" w:color="315BFF" w:sz="20"/>
            </w:tcBorders>
            <w:tcMar>
              <w:top w:type="dxa" w:w="0"/>
              <w:left w:type="dxa" w:w="0"/>
              <w:bottom w:type="dxa" w:w="0"/>
              <w:right w:type="dxa" w:w="0"/>
            </w:tcMar>
          </w:tcPr>
          <w:p>
            <w:pPr>
              <w:spacing w:after="0" w:line="20" w:lineRule="exact"/>
            </w:pPr>
            <w:r>
              <w:rPr>
                <w:sz w:val="2"/>
                <w:szCs w:val="2"/>
              </w:rPr>
              <w:t xml:space="preserve"/>
            </w:r>
          </w:p>
        </w:tc>
      </w:tr>
    </w:tbl>
    <w:p>
      <w:pPr>
        <w:pStyle w:val="Heading1"/>
        <w:keepNext/>
        <w:keepLines/>
        <w:widowControl/>
        <w:spacing w:after="200" w:before="360"/>
      </w:pPr>
      <w:r>
        <w:rPr>
          <w:rFonts w:ascii="Manrope" w:hAnsi="Manrope" w:eastAsia="Manrope" w:cs="Manrope"/>
          <w:color w:val="101828"/>
        </w:rPr>
        <w:t xml:space="preserve">Ready-to-use Copy</w:t>
      </w:r>
    </w:p>
    <w:p>
      <w:pPr>
        <w:pBdr>
          <w:bottom w:val="single" w:color="3FAF8F" w:sz="18" w:space="1"/>
        </w:pBdr>
        <w:spacing w:after="300"/>
        <w:ind w:right="7200"/>
      </w:pPr>
    </w:p>
    <w:p>
      <w:pPr>
        <w:spacing w:after="400" w:line="380"/>
      </w:pPr>
      <w:r>
        <w:rPr>
          <w:rFonts w:ascii="Source Serif 4" w:cs="Source Serif 4" w:eastAsia="Source Serif 4" w:hAnsi="Source Serif 4"/>
          <w:i/>
          <w:iCs/>
          <w:color w:val="101828"/>
          <w:sz w:val="30"/>
          <w:szCs w:val="30"/>
        </w:rPr>
        <w:t xml:space="preserve">Homepage copy, outreach templates and discovery call guides.</w:t>
      </w:r>
    </w:p>
    <w:p>
      <w:pPr>
        <w:keepNext/>
        <w:spacing w:after="40" w:before="360"/>
      </w:pPr>
      <w:r>
        <w:rPr>
          <w:rFonts w:ascii="Inter" w:hAnsi="Inter" w:eastAsia="Inter" w:cs="Inter"/>
          <w:b/>
          <w:bCs/>
          <w:color w:val="315BFF"/>
          <w:spacing w:val="20"/>
          <w:sz w:val="16"/>
          <w:szCs w:val="16"/>
        </w:rPr>
        <w:t xml:space="preserve">APPENDIX A</w:t>
      </w:r>
    </w:p>
    <w:p>
      <w:pPr>
        <w:pStyle w:val="Heading2"/>
        <w:keepNext/>
        <w:keepLines/>
        <w:widowControl/>
        <w:spacing w:before="0"/>
      </w:pPr>
      <w:r>
        <w:rPr>
          <w:rFonts w:ascii="Manrope" w:hAnsi="Manrope" w:eastAsia="Manrope" w:cs="Manrope"/>
          <w:color w:val="101828"/>
        </w:rPr>
        <w:t xml:space="preserve">Homepage copy</w:t>
      </w:r>
    </w:p>
    <w:tbl>
      <w:tblPr>
        <w:tblW w:type="dxa" w:w="9360"/>
        <w:tblBorders>
          <w:top w:val="nil" w:color="D9DEE8" w:sz="4"/>
          <w:left w:val="none" w:color="FFFFFF" w:sz="0"/>
          <w:bottom w:val="single" w:color="D9DEE8" w:sz="5" w:space="0"/>
          <w:right w:val="none" w:color="FFFFFF" w:sz="0"/>
          <w:insideH w:val="single" w:color="D9DEE8" w:sz="5" w:space="0"/>
          <w:insideV w:val="nil" w:color="FFFFFF" w:sz="0"/>
          <w:start w:val="nil"/>
          <w:end w:val="nil"/>
        </w:tblBorders>
        <w:tblLayout w:type="fixed"/>
      </w:tblPr>
      <w:tblGrid>
        <w:gridCol w:w="2246"/>
        <w:gridCol w:w="7114"/>
      </w:tblGrid>
      <w:tr>
        <w:trPr>
          <w:cantSplit/>
          <w:tblHeader w:val="true"/>
        </w:trPr>
        <w:tc>
          <w:tcPr>
            <w:tcW w:type="dxa" w:w="2246"/>
            <w:shd w:fill="101828" w:color="auto" w:val="clear"/>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FFFFFF"/>
                <w:sz w:val="18"/>
                <w:szCs w:val="18"/>
              </w:rPr>
              <w:t xml:space="preserve">Element</w:t>
            </w:r>
          </w:p>
        </w:tc>
        <w:tc>
          <w:tcPr>
            <w:tcW w:type="dxa" w:w="7114"/>
            <w:shd w:fill="101828" w:color="auto" w:val="clear"/>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FFFFFF"/>
                <w:sz w:val="18"/>
                <w:szCs w:val="18"/>
              </w:rPr>
              <w:t xml:space="preserve">Copy</w:t>
            </w:r>
          </w:p>
        </w:tc>
      </w:tr>
      <w:tr>
        <w:trPr>
          <w:cantSplit/>
          <w:tblHeader w:val="false"/>
        </w:trPr>
        <w:tc>
          <w:tcPr>
            <w:tcW w:type="dxa" w:w="2246"/>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101828"/>
                <w:sz w:val="18"/>
                <w:szCs w:val="18"/>
              </w:rPr>
              <w:t xml:space="preserve">Meta title</w:t>
            </w:r>
          </w:p>
        </w:tc>
        <w:tc>
          <w:tcPr>
            <w:tcW w:type="dxa" w:w="7114"/>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ADelier Commerce, Marketplace Growth Partner</w:t>
            </w:r>
          </w:p>
        </w:tc>
      </w:tr>
      <w:tr>
        <w:trPr>
          <w:cantSplit/>
          <w:tblHeader w:val="false"/>
        </w:trPr>
        <w:tc>
          <w:tcPr>
            <w:tcW w:type="dxa" w:w="2246"/>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101828"/>
                <w:sz w:val="18"/>
                <w:szCs w:val="18"/>
              </w:rPr>
              <w:t xml:space="preserve">Meta description</w:t>
            </w:r>
          </w:p>
        </w:tc>
        <w:tc>
          <w:tcPr>
            <w:tcW w:type="dxa" w:w="7114"/>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ADelier helps marketing agencies and consumer brands improve Amazon positioning, conversion execution and team capability through expert-led marketplace delivery and standalone applied training.</w:t>
            </w:r>
          </w:p>
        </w:tc>
      </w:tr>
      <w:tr>
        <w:trPr>
          <w:cantSplit/>
          <w:tblHeader w:val="false"/>
        </w:trPr>
        <w:tc>
          <w:tcPr>
            <w:tcW w:type="dxa" w:w="2246"/>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101828"/>
                <w:sz w:val="18"/>
                <w:szCs w:val="18"/>
              </w:rPr>
              <w:t xml:space="preserve">Hero</w:t>
            </w:r>
          </w:p>
        </w:tc>
        <w:tc>
          <w:tcPr>
            <w:tcW w:type="dxa" w:w="7114"/>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Positioned to sell. Equipped to scale.</w:t>
            </w:r>
          </w:p>
        </w:tc>
      </w:tr>
      <w:tr>
        <w:trPr>
          <w:cantSplit/>
          <w:tblHeader w:val="false"/>
        </w:trPr>
        <w:tc>
          <w:tcPr>
            <w:tcW w:type="dxa" w:w="2246"/>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101828"/>
                <w:sz w:val="18"/>
                <w:szCs w:val="18"/>
              </w:rPr>
              <w:t xml:space="preserve">Hero support</w:t>
            </w:r>
          </w:p>
        </w:tc>
        <w:tc>
          <w:tcPr>
            <w:tcW w:type="dxa" w:w="7114"/>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ADelier helps marketing agencies and consumer brands improve Amazon positioning, conversion execution and team capability through expert-led marketplace delivery and standalone applied training.</w:t>
            </w:r>
          </w:p>
        </w:tc>
      </w:tr>
      <w:tr>
        <w:trPr>
          <w:cantSplit/>
          <w:tblHeader w:val="false"/>
        </w:trPr>
        <w:tc>
          <w:tcPr>
            <w:tcW w:type="dxa" w:w="2246"/>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101828"/>
                <w:sz w:val="18"/>
                <w:szCs w:val="18"/>
              </w:rPr>
              <w:t xml:space="preserve">Buttons</w:t>
            </w:r>
          </w:p>
        </w:tc>
        <w:tc>
          <w:tcPr>
            <w:tcW w:type="dxa" w:w="7114"/>
            <w:tcMar>
              <w:top w:type="dxa" w:w="80"/>
              <w:left w:type="dxa" w:w="120"/>
              <w:bottom w:type="dxa" w:w="80"/>
              <w:right w:type="dxa" w:w="120"/>
              <w:start w:w="100" w:type="dxa"/>
              <w:end w:w="100" w:type="dxa"/>
            </w:tcMar>
            <w:vAlign w:val="center"/>
          </w:tcPr>
          <w:p>
            <w:r>
              <w:t>Explore agency partnerships; Explore brand services; Explore training</w:t>
            </w:r>
          </w:p>
        </w:tc>
      </w:tr>
      <w:tr>
        <w:trPr>
          <w:cantSplit/>
          <w:tblHeader w:val="false"/>
        </w:trPr>
        <w:tc>
          <w:tcPr>
            <w:tcW w:type="dxa" w:w="2246"/>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101828"/>
                <w:sz w:val="18"/>
                <w:szCs w:val="18"/>
              </w:rPr>
              <w:t xml:space="preserve">For agencies</w:t>
            </w:r>
          </w:p>
        </w:tc>
        <w:tc>
          <w:tcPr>
            <w:tcW w:type="dxa" w:w="7114"/>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Expand your Amazon offer. Keep the client relationship. Use ADelier as a white-label delivery team, a visible marketplace specialist or a capability-building partner. Add expertise and flexible capacity without immediately building a complete internal team.</w:t>
            </w:r>
          </w:p>
        </w:tc>
      </w:tr>
      <w:tr>
        <w:trPr>
          <w:cantSplit/>
          <w:tblHeader w:val="false"/>
        </w:trPr>
        <w:tc>
          <w:tcPr>
            <w:tcW w:type="dxa" w:w="2246"/>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101828"/>
                <w:sz w:val="18"/>
                <w:szCs w:val="18"/>
              </w:rPr>
              <w:t xml:space="preserve">For brands</w:t>
            </w:r>
          </w:p>
        </w:tc>
        <w:tc>
          <w:tcPr>
            <w:tcW w:type="dxa" w:w="7114"/>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Make your product the obvious choice. Clarify why shoppers should choose, rebuild the marketplace experience and strengthen the team and workflows behind it.</w:t>
            </w:r>
          </w:p>
        </w:tc>
      </w:tr>
      <w:tr>
        <w:trPr>
          <w:cantSplit/>
          <w:tblHeader w:val="false"/>
        </w:trPr>
        <w:tc>
          <w:tcPr>
            <w:tcW w:type="dxa" w:w="2246"/>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101828"/>
                <w:sz w:val="18"/>
                <w:szCs w:val="18"/>
              </w:rPr>
              <w:t xml:space="preserve">ADelier Delivers</w:t>
            </w:r>
          </w:p>
        </w:tc>
        <w:tc>
          <w:tcPr>
            <w:tcW w:type="dxa" w:w="7114"/>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Specialist marketplace execution under our name or yours, with clear scope, expert review and reliable handoff.</w:t>
            </w:r>
          </w:p>
        </w:tc>
      </w:tr>
      <w:tr>
        <w:trPr>
          <w:cantSplit/>
          <w:tblHeader w:val="false"/>
        </w:trPr>
        <w:tc>
          <w:tcPr>
            <w:tcW w:type="dxa" w:w="2246"/>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101828"/>
                <w:sz w:val="18"/>
                <w:szCs w:val="18"/>
              </w:rPr>
              <w:t xml:space="preserve">ADelier Co-builds</w:t>
            </w:r>
          </w:p>
        </w:tc>
        <w:tc>
          <w:tcPr>
            <w:tcW w:type="dxa" w:w="7114"/>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Strategy and implementation developed with your team, so the reasoning remains visible and decisions happen faster.</w:t>
            </w:r>
          </w:p>
        </w:tc>
      </w:tr>
      <w:tr>
        <w:trPr>
          <w:cantSplit/>
          <w:tblHeader w:val="false"/>
        </w:trPr>
        <w:tc>
          <w:tcPr>
            <w:tcW w:type="dxa" w:w="2246"/>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101828"/>
                <w:sz w:val="18"/>
                <w:szCs w:val="18"/>
              </w:rPr>
              <w:t xml:space="preserve">ADelier Enables</w:t>
            </w:r>
          </w:p>
        </w:tc>
        <w:tc>
          <w:tcPr>
            <w:tcW w:type="dxa" w:w="7114"/>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Applied training, live practice, playbooks and quality standards that help your team repeat the work.</w:t>
            </w:r>
          </w:p>
        </w:tc>
      </w:tr>
      <w:tr>
        <w:trPr>
          <w:cantSplit/>
          <w:tblHeader w:val="false"/>
        </w:trPr>
        <w:tc>
          <w:tcPr>
            <w:tcW w:type="dxa" w:w="2246"/>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101828"/>
                <w:sz w:val="18"/>
                <w:szCs w:val="18"/>
              </w:rPr>
              <w:t xml:space="preserve">Method</w:t>
            </w:r>
          </w:p>
        </w:tc>
        <w:tc>
          <w:tcPr>
            <w:tcW w:type="dxa" w:w="7114"/>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Diagnose. Position. Build. Validate. Enable. Scale. From a single underperforming ASIN to a portfolio workflow, ADelier identifies where value is leaking and designs the most useful mix of execution and capability building.</w:t>
            </w:r>
          </w:p>
        </w:tc>
      </w:tr>
      <w:tr>
        <w:trPr>
          <w:cantSplit/>
          <w:tblHeader w:val="false"/>
        </w:trPr>
        <w:tc>
          <w:tcPr>
            <w:tcW w:type="dxa" w:w="2246"/>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101828"/>
                <w:sz w:val="18"/>
                <w:szCs w:val="18"/>
              </w:rPr>
              <w:t xml:space="preserve">Training</w:t>
            </w:r>
          </w:p>
        </w:tc>
        <w:tc>
          <w:tcPr>
            <w:tcW w:type="dxa" w:w="7114"/>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Standalone training built around real work. Bring your products, clients, workflows and quality gaps. Leave with improved outputs, practical tools, a named internal owner and a 30-day implementation plan.</w:t>
            </w:r>
          </w:p>
        </w:tc>
      </w:tr>
      <w:tr>
        <w:trPr>
          <w:cantSplit/>
          <w:tblHeader w:val="false"/>
        </w:trPr>
        <w:tc>
          <w:tcPr>
            <w:tcW w:type="dxa" w:w="2246"/>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101828"/>
                <w:sz w:val="18"/>
                <w:szCs w:val="18"/>
              </w:rPr>
              <w:t xml:space="preserve">Operating advantage</w:t>
            </w:r>
          </w:p>
        </w:tc>
        <w:tc>
          <w:tcPr>
            <w:tcW w:type="dxa" w:w="7114"/>
            <w:tcMar>
              <w:top w:type="dxa" w:w="80"/>
              <w:left w:type="dxa" w:w="120"/>
              <w:bottom w:type="dxa" w:w="80"/>
              <w:right w:type="dxa" w:w="120"/>
              <w:start w:w="100" w:type="dxa"/>
              <w:end w:w="100" w:type="dxa"/>
            </w:tcMar>
            <w:vAlign w:val="center"/>
          </w:tcPr>
          <w:p>
            <w:pPr>
              <w:spacing w:after="40"/>
            </w:pPr>
            <w:r>
              <w:t>Poland-based team. International client focus. Expert-led delivery. European operating efficiency. The operating model creates more specialist attention, faster iteration and attractive economics without lowering the quality standard.</w:t>
            </w:r>
          </w:p>
        </w:tc>
      </w:tr>
      <w:tr>
        <w:trPr>
          <w:cantSplit/>
          <w:tblHeader w:val="false"/>
        </w:trPr>
        <w:tc>
          <w:tcPr>
            <w:tcW w:type="dxa" w:w="2246"/>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101828"/>
                <w:sz w:val="18"/>
                <w:szCs w:val="18"/>
              </w:rPr>
              <w:t xml:space="preserve">Final call to action</w:t>
            </w:r>
          </w:p>
        </w:tc>
        <w:tc>
          <w:tcPr>
            <w:tcW w:type="dxa" w:w="7114"/>
            <w:tcMar>
              <w:top w:type="dxa" w:w="80"/>
              <w:left w:type="dxa" w:w="120"/>
              <w:bottom w:type="dxa" w:w="80"/>
              <w:right w:type="dxa" w:w="120"/>
              <w:start w:w="100" w:type="dxa"/>
              <w:end w:w="100" w:type="dxa"/>
            </w:tcMar>
            <w:vAlign w:val="center"/>
          </w:tcPr>
          <w:p>
            <w:r>
              <w:t>Bring one underperforming ASIN or one capability gap. We will determine whether the most useful next step is delivery, co-building or a standalone training program. Buttons: Explore agency partnerships; Explore brand services; Explore training.</w:t>
            </w:r>
          </w:p>
        </w:tc>
      </w:tr>
    </w:tbl>
    <w:p>
      <w:pPr>
        <w:spacing w:after="160" w:before="0"/>
      </w:pPr>
    </w:p>
    <w:p>
      <w:pPr>
        <w:keepNext/>
        <w:spacing w:after="40" w:before="360"/>
      </w:pPr>
      <w:r>
        <w:rPr>
          <w:rFonts w:ascii="Inter" w:hAnsi="Inter" w:eastAsia="Inter" w:cs="Inter"/>
          <w:b/>
          <w:bCs/>
          <w:color w:val="315BFF"/>
          <w:spacing w:val="20"/>
          <w:sz w:val="16"/>
          <w:szCs w:val="16"/>
        </w:rPr>
        <w:t xml:space="preserve">APPENDIX B</w:t>
      </w:r>
    </w:p>
    <w:p>
      <w:pPr>
        <w:pStyle w:val="Heading2"/>
        <w:keepNext/>
        <w:keepLines/>
        <w:widowControl/>
        <w:spacing w:before="0"/>
      </w:pPr>
      <w:r>
        <w:rPr>
          <w:rFonts w:ascii="Manrope" w:hAnsi="Manrope" w:eastAsia="Manrope" w:cs="Manrope"/>
          <w:color w:val="101828"/>
        </w:rPr>
        <w:t xml:space="preserve">Agency outreach templates</w:t>
      </w:r>
    </w:p>
    <w:p>
      <w:pPr>
        <w:pStyle w:val="Heading3"/>
        <w:keepNext/>
        <w:keepLines/>
        <w:widowControl/>
      </w:pPr>
      <w:r>
        <w:rPr>
          <w:rFonts w:ascii="Inter" w:hAnsi="Inter" w:eastAsia="Inter" w:cs="Inter"/>
          <w:color w:val="315BFF"/>
        </w:rPr>
        <w:t xml:space="preserve">Initial email</w:t>
      </w:r>
    </w:p>
    <w:p>
      <w:pPr>
        <w:spacing w:after="140"/>
      </w:pPr>
      <w:r>
        <w:rPr>
          <w:rFonts w:ascii="Inter" w:hAnsi="Inter" w:eastAsia="Inter" w:cs="Inter"/>
          <w:b/>
          <w:bCs/>
          <w:color w:val="101828"/>
        </w:rPr>
        <w:t xml:space="preserve">Subject:</w:t>
      </w:r>
      <w:r>
        <w:rPr>
          <w:rFonts w:ascii="Inter" w:hAnsi="Inter" w:eastAsia="Inter" w:cs="Inter"/>
          <w:color w:val="101828"/>
        </w:rPr>
        <w:t xml:space="preserve"> Amazon capability support for [Agency]</w:t>
      </w:r>
    </w:p>
    <w:p>
      <w:pPr>
        <w:spacing w:after="140"/>
      </w:pPr>
      <w:r>
        <w:rPr>
          <w:rFonts w:ascii="Inter" w:hAnsi="Inter" w:eastAsia="Inter" w:cs="Inter"/>
          <w:color w:val="101828"/>
        </w:rPr>
        <w:t xml:space="preserve">Hi [Name],</w:t>
      </w:r>
    </w:p>
    <w:p>
      <w:pPr>
        <w:spacing w:after="140"/>
      </w:pPr>
      <w:r>
        <w:rPr>
          <w:rFonts w:ascii="Inter" w:hAnsi="Inter" w:eastAsia="Inter" w:cs="Inter"/>
          <w:color w:val="101828"/>
        </w:rPr>
        <w:t xml:space="preserve">I noticed that [Agency] works with consumer brands across [relevant service or category]. When clients ask for Amazon listing, conversion creative or marketplace training, building a complete internal team before demand is predictable can be difficult.</w:t>
      </w:r>
    </w:p>
    <w:p>
      <w:pPr>
        <w:spacing w:after="140"/>
      </w:pPr>
      <w:r>
        <w:rPr>
          <w:rFonts w:ascii="Inter" w:hAnsi="Inter" w:eastAsia="Inter" w:cs="Inter"/>
          <w:color w:val="101828"/>
        </w:rPr>
        <w:t>ADelier works as a white-label or specialist delivery partner for agencies. We support marketplace diagnosis, product positioning, listing content, creative direction, AI-assisted workflows and applied team training. Agency-introduced accounts remain protected, and an expert lead reviews the work before it reaches the client.</w:t>
      </w:r>
    </w:p>
    <w:p>
      <w:pPr>
        <w:spacing w:after="140"/>
      </w:pPr>
      <w:r>
        <w:rPr>
          <w:rFonts w:ascii="Inter" w:hAnsi="Inter" w:eastAsia="Inter" w:cs="Inter"/>
          <w:color w:val="101828"/>
        </w:rPr>
        <w:t xml:space="preserve">A useful first step could be a paid pilot on one client or a short conversation about the capability gaps you see most often. Would [two suggested times] work for a 25-minute discussion?</w:t>
      </w:r>
    </w:p>
    <w:p>
      <w:pPr>
        <w:spacing w:after="140"/>
      </w:pPr>
      <w:r>
        <w:rPr>
          <w:rFonts w:ascii="Inter" w:hAnsi="Inter" w:eastAsia="Inter" w:cs="Inter"/>
          <w:color w:val="101828"/>
        </w:rPr>
        <w:t xml:space="preserve">Best,</w:t>
      </w:r>
    </w:p>
    <w:p>
      <w:pPr>
        <w:spacing w:after="140"/>
      </w:pPr>
      <w:r>
        <w:rPr>
          <w:rFonts w:ascii="Inter" w:hAnsi="Inter" w:eastAsia="Inter" w:cs="Inter"/>
          <w:color w:val="101828"/>
        </w:rPr>
        <w:t xml:space="preserve">[Name]</w:t>
      </w:r>
    </w:p>
    <w:p>
      <w:pPr>
        <w:pStyle w:val="Heading3"/>
        <w:keepNext/>
        <w:keepLines/>
        <w:widowControl/>
      </w:pPr>
      <w:r>
        <w:rPr>
          <w:rFonts w:ascii="Inter" w:hAnsi="Inter" w:eastAsia="Inter" w:cs="Inter"/>
          <w:color w:val="315BFF"/>
        </w:rPr>
        <w:t xml:space="preserve">Follow-up after discovery</w:t>
      </w:r>
    </w:p>
    <w:p>
      <w:pPr>
        <w:spacing w:after="140"/>
      </w:pPr>
      <w:r>
        <w:rPr>
          <w:rFonts w:ascii="Inter" w:hAnsi="Inter" w:eastAsia="Inter" w:cs="Inter"/>
          <w:b/>
          <w:bCs/>
          <w:color w:val="101828"/>
        </w:rPr>
        <w:t xml:space="preserve">Subject:</w:t>
      </w:r>
      <w:r>
        <w:rPr>
          <w:rFonts w:ascii="Inter" w:hAnsi="Inter" w:eastAsia="Inter" w:cs="Inter"/>
          <w:color w:val="101828"/>
        </w:rPr>
        <w:t xml:space="preserve"> Recommended starting point for [Agency]</w:t>
      </w:r>
    </w:p>
    <w:p>
      <w:pPr>
        <w:spacing w:after="140"/>
      </w:pPr>
      <w:r>
        <w:rPr>
          <w:rFonts w:ascii="Inter" w:hAnsi="Inter" w:eastAsia="Inter" w:cs="Inter"/>
          <w:color w:val="101828"/>
        </w:rPr>
        <w:t xml:space="preserve">Hi [Name],</w:t>
      </w:r>
    </w:p>
    <w:p>
      <w:pPr>
        <w:spacing w:after="140"/>
      </w:pPr>
      <w:r>
        <w:rPr>
          <w:rFonts w:ascii="Inter" w:hAnsi="Inter" w:eastAsia="Inter" w:cs="Inter"/>
          <w:color w:val="101828"/>
        </w:rPr>
        <w:t xml:space="preserve">Based on our conversation, the immediate issue is not a lack of general creative capacity. It is the need for a repeatable Amazon conversion process that your account teams can sell confidently and your delivery team can quality-control.</w:t>
      </w:r>
    </w:p>
    <w:p>
      <w:pPr>
        <w:spacing w:after="140"/>
      </w:pPr>
      <w:r>
        <w:rPr>
          <w:rFonts w:ascii="Inter" w:hAnsi="Inter" w:eastAsia="Inter" w:cs="Inter"/>
          <w:color w:val="101828"/>
        </w:rPr>
        <w:t xml:space="preserve">The most useful starting point is [offer], covering [scope]. The outcome would be [specific deliverable or capability], with [named measure or acceptance standard]. I have summarized the proposed roles, timing and protected-account approach below. The next decision is [decision] by [date].</w:t>
      </w:r>
    </w:p>
    <w:p>
      <w:pPr>
        <w:spacing w:after="140"/>
      </w:pPr>
      <w:r>
        <w:rPr>
          <w:rFonts w:ascii="Inter" w:hAnsi="Inter" w:eastAsia="Inter" w:cs="Inter"/>
          <w:color w:val="101828"/>
        </w:rPr>
        <w:t xml:space="preserve">Best,</w:t>
      </w:r>
    </w:p>
    <w:p>
      <w:pPr>
        <w:spacing w:after="140"/>
      </w:pPr>
      <w:r>
        <w:rPr>
          <w:rFonts w:ascii="Inter" w:hAnsi="Inter" w:eastAsia="Inter" w:cs="Inter"/>
          <w:color w:val="101828"/>
        </w:rPr>
        <w:t xml:space="preserve">[Name]</w:t>
      </w:r>
    </w:p>
    <w:p>
      <w:pPr>
        <w:pStyle w:val="Heading3"/>
        <w:keepNext/>
        <w:keepLines/>
        <w:widowControl/>
      </w:pPr>
      <w:r>
        <w:rPr>
          <w:rFonts w:ascii="Inter" w:hAnsi="Inter" w:eastAsia="Inter" w:cs="Inter"/>
          <w:color w:val="315BFF"/>
        </w:rPr>
        <w:t xml:space="preserve">Referral introduction</w:t>
      </w:r>
    </w:p>
    <w:p>
      <w:pPr>
        <w:spacing w:after="140"/>
      </w:pPr>
      <w:r>
        <w:rPr>
          <w:rFonts w:ascii="Inter" w:hAnsi="Inter" w:eastAsia="Inter" w:cs="Inter"/>
          <w:color w:val="101828"/>
        </w:rPr>
        <w:t xml:space="preserve">ADelier helps marketing agencies add Amazon strategy, conversion content and team capability without immediately hiring a full marketplace team. They can work white-label, co-deliver or train the internal team, with explicit protection of agency-introduced accounts.</w:t>
      </w:r>
    </w:p>
    <w:p>
      <w:pPr>
        <w:pStyle w:val="Heading3"/>
        <w:keepNext/>
        <w:keepLines/>
        <w:widowControl/>
      </w:pPr>
      <w:r>
        <w:rPr>
          <w:rFonts w:ascii="Inter" w:hAnsi="Inter" w:eastAsia="Inter" w:cs="Inter"/>
          <w:color w:val="315BFF"/>
        </w:rPr>
        <w:t xml:space="preserve">Short LinkedIn message</w:t>
      </w:r>
    </w:p>
    <w:p>
      <w:pPr>
        <w:spacing w:after="140"/>
      </w:pPr>
      <w:r>
        <w:rPr>
          <w:rFonts w:ascii="Inter" w:hAnsi="Inter" w:eastAsia="Inter" w:cs="Inter"/>
          <w:color w:val="101828"/>
        </w:rPr>
        <w:t>Hi [Name], ADelier supports marketing agencies that need Amazon positioning, listing and training capability without immediately building a full internal team. We can work white-label, co-deliver or enable your team, with protected client accounts. I would be interested in the marketplace requests your clients ask you to solve most often.</w:t>
      </w:r>
    </w:p>
    <w:p>
      <w:pPr>
        <w:pStyle w:val="Heading3"/>
        <w:keepNext/>
        <w:keepLines/>
        <w:widowControl/>
      </w:pPr>
      <w:r>
        <w:rPr>
          <w:rFonts w:ascii="Inter" w:hAnsi="Inter" w:eastAsia="Inter" w:cs="Inter"/>
          <w:color w:val="315BFF"/>
        </w:rPr>
        <w:t>Training outreach</w:t>
      </w:r>
    </w:p>
    <w:p>
      <w:pPr>
        <w:spacing w:after="140"/>
      </w:pPr>
      <w:r>
        <w:rPr>
          <w:rFonts w:ascii="Inter" w:hAnsi="Inter" w:eastAsia="Inter" w:cs="Inter"/>
          <w:color w:val="101828"/>
        </w:rPr>
        <w:t>Subject: Amazon conversion training for [Agency/Brand] team</w:t>
      </w:r>
    </w:p>
    <w:p>
      <w:pPr>
        <w:spacing w:after="140"/>
      </w:pPr>
      <w:r>
        <w:rPr>
          <w:rFonts w:ascii="Inter" w:hAnsi="Inter" w:eastAsia="Inter" w:cs="Inter"/>
          <w:color w:val="101828"/>
        </w:rPr>
        <w:t>Many marketplace teams produce or review Amazon content without one shared standard for shopper choice, message hierarchy, creative sequence and quality control.</w:t>
      </w:r>
    </w:p>
    <w:p>
      <w:pPr>
        <w:spacing w:after="140"/>
      </w:pPr>
      <w:r>
        <w:rPr>
          <w:rFonts w:ascii="Inter" w:hAnsi="Inter" w:eastAsia="Inter" w:cs="Inter"/>
          <w:color w:val="101828"/>
        </w:rPr>
        <w:t>ADelier runs standalone private training programs using the team's own products, client examples and workflows. Participants improve live work during the program and leave with a quality rubric, reusable tools and a 30-day implementation plan.</w:t>
      </w:r>
    </w:p>
    <w:p>
      <w:pPr>
        <w:spacing w:after="140"/>
      </w:pPr>
      <w:r>
        <w:rPr>
          <w:rFonts w:ascii="Inter" w:hAnsi="Inter" w:eastAsia="Inter" w:cs="Inter"/>
          <w:color w:val="101828"/>
        </w:rPr>
        <w:t>The two launch programs are Amazon Conversion Foundations for practitioner teams and Agency Marketplace Enablement for agencies building a repeatable Amazon offer. Neither requires an outsourced delivery engagement.</w:t>
      </w:r>
    </w:p>
    <w:p>
      <w:pPr>
        <w:spacing w:after="140"/>
      </w:pPr>
      <w:r>
        <w:rPr>
          <w:rFonts w:ascii="Inter" w:hAnsi="Inter" w:eastAsia="Inter" w:cs="Inter"/>
          <w:color w:val="101828"/>
        </w:rPr>
        <w:t>The most useful next step is a short discussion about the team, current workflow and capability you want to build.</w:t>
      </w:r>
    </w:p>
    <w:p>
      <w:pPr>
        <w:keepNext/>
        <w:spacing w:after="40" w:before="360"/>
      </w:pPr>
      <w:r>
        <w:rPr>
          <w:rFonts w:ascii="Inter" w:hAnsi="Inter" w:eastAsia="Inter" w:cs="Inter"/>
          <w:b/>
          <w:bCs/>
          <w:color w:val="315BFF"/>
          <w:spacing w:val="20"/>
          <w:sz w:val="16"/>
          <w:szCs w:val="16"/>
        </w:rPr>
        <w:t xml:space="preserve">APPENDIX C</w:t>
      </w:r>
    </w:p>
    <w:p>
      <w:pPr>
        <w:pStyle w:val="Heading2"/>
        <w:keepNext/>
        <w:keepLines/>
        <w:widowControl/>
        <w:spacing w:before="0"/>
      </w:pPr>
      <w:r>
        <w:rPr>
          <w:rFonts w:ascii="Manrope" w:hAnsi="Manrope" w:eastAsia="Manrope" w:cs="Manrope"/>
          <w:color w:val="101828"/>
        </w:rPr>
        <w:t xml:space="preserve">Discovery call guides</w:t>
      </w:r>
    </w:p>
    <w:p>
      <w:pPr>
        <w:pStyle w:val="Heading3"/>
        <w:keepNext/>
        <w:keepLines/>
        <w:widowControl/>
      </w:pPr>
      <w:r>
        <w:rPr>
          <w:rFonts w:ascii="Inter" w:hAnsi="Inter" w:eastAsia="Inter" w:cs="Inter"/>
          <w:color w:val="315BFF"/>
        </w:rPr>
        <w:t xml:space="preserve">30-minute agency call</w:t>
      </w:r>
    </w:p>
    <w:tbl>
      <w:tblPr>
        <w:tblW w:type="dxa" w:w="9360"/>
        <w:tblBorders>
          <w:top w:val="nil" w:color="D9DEE8" w:sz="4"/>
          <w:left w:val="none" w:color="FFFFFF" w:sz="0"/>
          <w:bottom w:val="single" w:color="D9DEE8" w:sz="5" w:space="0"/>
          <w:right w:val="none" w:color="FFFFFF" w:sz="0"/>
          <w:insideH w:val="single" w:color="D9DEE8" w:sz="5" w:space="0"/>
          <w:insideV w:val="nil" w:color="FFFFFF" w:sz="0"/>
          <w:start w:val="nil"/>
          <w:end w:val="nil"/>
        </w:tblBorders>
        <w:tblLayout w:type="fixed"/>
      </w:tblPr>
      <w:tblGrid>
        <w:gridCol w:w="1685"/>
        <w:gridCol w:w="2995"/>
        <w:gridCol w:w="4680"/>
      </w:tblGrid>
      <w:tr>
        <w:trPr>
          <w:cantSplit/>
          <w:tblHeader w:val="true"/>
        </w:trPr>
        <w:tc>
          <w:tcPr>
            <w:tcW w:type="dxa" w:w="1685"/>
            <w:shd w:fill="101828" w:color="auto" w:val="clear"/>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FFFFFF"/>
                <w:sz w:val="18"/>
                <w:szCs w:val="18"/>
              </w:rPr>
              <w:t xml:space="preserve">Time</w:t>
            </w:r>
          </w:p>
        </w:tc>
        <w:tc>
          <w:tcPr>
            <w:tcW w:type="dxa" w:w="2995"/>
            <w:shd w:fill="101828" w:color="auto" w:val="clear"/>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FFFFFF"/>
                <w:sz w:val="18"/>
                <w:szCs w:val="18"/>
              </w:rPr>
              <w:t xml:space="preserve">Topic</w:t>
            </w:r>
          </w:p>
        </w:tc>
        <w:tc>
          <w:tcPr>
            <w:tcW w:type="dxa" w:w="4680"/>
            <w:shd w:fill="101828" w:color="auto" w:val="clear"/>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FFFFFF"/>
                <w:sz w:val="18"/>
                <w:szCs w:val="18"/>
              </w:rPr>
              <w:t xml:space="preserve">Purpose</w:t>
            </w:r>
          </w:p>
        </w:tc>
      </w:tr>
      <w:tr>
        <w:trPr>
          <w:cantSplit/>
          <w:tblHeader w:val="false"/>
        </w:trPr>
        <w:tc>
          <w:tcPr>
            <w:tcW w:type="dxa" w:w="1685"/>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101828"/>
                <w:sz w:val="18"/>
                <w:szCs w:val="18"/>
              </w:rPr>
              <w:t xml:space="preserve">0 to 3 min</w:t>
            </w:r>
          </w:p>
        </w:tc>
        <w:tc>
          <w:tcPr>
            <w:tcW w:type="dxa" w:w="2995"/>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Context and purpose</w:t>
            </w:r>
          </w:p>
        </w:tc>
        <w:tc>
          <w:tcPr>
            <w:tcW w:type="dxa" w:w="4680"/>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Confirm why the conversation is relevant now</w:t>
            </w:r>
          </w:p>
        </w:tc>
      </w:tr>
      <w:tr>
        <w:trPr>
          <w:cantSplit/>
          <w:tblHeader w:val="false"/>
        </w:trPr>
        <w:tc>
          <w:tcPr>
            <w:tcW w:type="dxa" w:w="1685"/>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101828"/>
                <w:sz w:val="18"/>
                <w:szCs w:val="18"/>
              </w:rPr>
              <w:t xml:space="preserve">3 to 10 min</w:t>
            </w:r>
          </w:p>
        </w:tc>
        <w:tc>
          <w:tcPr>
            <w:tcW w:type="dxa" w:w="2995"/>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Client demand and service gaps</w:t>
            </w:r>
          </w:p>
        </w:tc>
        <w:tc>
          <w:tcPr>
            <w:tcW w:type="dxa" w:w="4680"/>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Identify recurring requests, categories and lost opportunities</w:t>
            </w:r>
          </w:p>
        </w:tc>
      </w:tr>
      <w:tr>
        <w:trPr>
          <w:cantSplit/>
          <w:tblHeader w:val="false"/>
        </w:trPr>
        <w:tc>
          <w:tcPr>
            <w:tcW w:type="dxa" w:w="1685"/>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101828"/>
                <w:sz w:val="18"/>
                <w:szCs w:val="18"/>
              </w:rPr>
              <w:t xml:space="preserve">10 to 17 min</w:t>
            </w:r>
          </w:p>
        </w:tc>
        <w:tc>
          <w:tcPr>
            <w:tcW w:type="dxa" w:w="2995"/>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Current delivery model</w:t>
            </w:r>
          </w:p>
        </w:tc>
        <w:tc>
          <w:tcPr>
            <w:tcW w:type="dxa" w:w="4680"/>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Understand team, partners, quality, timing and margin pressure</w:t>
            </w:r>
          </w:p>
        </w:tc>
      </w:tr>
      <w:tr>
        <w:trPr>
          <w:cantSplit/>
          <w:tblHeader w:val="false"/>
        </w:trPr>
        <w:tc>
          <w:tcPr>
            <w:tcW w:type="dxa" w:w="1685"/>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101828"/>
                <w:sz w:val="18"/>
                <w:szCs w:val="18"/>
              </w:rPr>
              <w:t xml:space="preserve">17 to 22 min</w:t>
            </w:r>
          </w:p>
        </w:tc>
        <w:tc>
          <w:tcPr>
            <w:tcW w:type="dxa" w:w="2995"/>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Relationship requirements</w:t>
            </w:r>
          </w:p>
        </w:tc>
        <w:tc>
          <w:tcPr>
            <w:tcW w:type="dxa" w:w="4680"/>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Clarify white-label role, account protection and client communication</w:t>
            </w:r>
          </w:p>
        </w:tc>
      </w:tr>
      <w:tr>
        <w:trPr>
          <w:cantSplit/>
          <w:tblHeader w:val="false"/>
        </w:trPr>
        <w:tc>
          <w:tcPr>
            <w:tcW w:type="dxa" w:w="1685"/>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101828"/>
                <w:sz w:val="18"/>
                <w:szCs w:val="18"/>
              </w:rPr>
              <w:t xml:space="preserve">22 to 26 min</w:t>
            </w:r>
          </w:p>
        </w:tc>
        <w:tc>
          <w:tcPr>
            <w:tcW w:type="dxa" w:w="2995"/>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Training and capability</w:t>
            </w:r>
          </w:p>
        </w:tc>
        <w:tc>
          <w:tcPr>
            <w:tcW w:type="dxa" w:w="4680"/>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Identify what the agency wants to own internally over time</w:t>
            </w:r>
          </w:p>
        </w:tc>
      </w:tr>
      <w:tr>
        <w:trPr>
          <w:cantSplit/>
          <w:tblHeader w:val="false"/>
        </w:trPr>
        <w:tc>
          <w:tcPr>
            <w:tcW w:type="dxa" w:w="1685"/>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101828"/>
                <w:sz w:val="18"/>
                <w:szCs w:val="18"/>
              </w:rPr>
              <w:t xml:space="preserve">26 to 30 min</w:t>
            </w:r>
          </w:p>
        </w:tc>
        <w:tc>
          <w:tcPr>
            <w:tcW w:type="dxa" w:w="2995"/>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Recommendation and next action</w:t>
            </w:r>
          </w:p>
        </w:tc>
        <w:tc>
          <w:tcPr>
            <w:tcW w:type="dxa" w:w="4680"/>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Agree pilot, diagnostic, workshop or a no-fit decision</w:t>
            </w:r>
          </w:p>
        </w:tc>
      </w:tr>
    </w:tbl>
    <w:p>
      <w:pPr>
        <w:spacing w:after="160" w:before="0"/>
      </w:pPr>
    </w:p>
    <w:p>
      <w:pPr>
        <w:pStyle w:val="Heading3"/>
        <w:keepNext/>
        <w:keepLines/>
        <w:widowControl/>
      </w:pPr>
      <w:r>
        <w:rPr>
          <w:rFonts w:ascii="Inter" w:hAnsi="Inter" w:eastAsia="Inter" w:cs="Inter"/>
          <w:color w:val="315BFF"/>
        </w:rPr>
        <w:t xml:space="preserve">45-minute brand call</w:t>
      </w:r>
    </w:p>
    <w:tbl>
      <w:tblPr>
        <w:tblW w:type="dxa" w:w="9360"/>
        <w:tblBorders>
          <w:top w:val="nil" w:color="D9DEE8" w:sz="4"/>
          <w:left w:val="none" w:color="FFFFFF" w:sz="0"/>
          <w:bottom w:val="single" w:color="D9DEE8" w:sz="5" w:space="0"/>
          <w:right w:val="none" w:color="FFFFFF" w:sz="0"/>
          <w:insideH w:val="single" w:color="D9DEE8" w:sz="5" w:space="0"/>
          <w:insideV w:val="nil" w:color="FFFFFF" w:sz="0"/>
          <w:start w:val="nil"/>
          <w:end w:val="nil"/>
        </w:tblBorders>
        <w:tblLayout w:type="fixed"/>
      </w:tblPr>
      <w:tblGrid>
        <w:gridCol w:w="1685"/>
        <w:gridCol w:w="2995"/>
        <w:gridCol w:w="4680"/>
      </w:tblGrid>
      <w:tr>
        <w:trPr>
          <w:cantSplit/>
          <w:tblHeader w:val="true"/>
        </w:trPr>
        <w:tc>
          <w:tcPr>
            <w:tcW w:type="dxa" w:w="1685"/>
            <w:shd w:fill="101828" w:color="auto" w:val="clear"/>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FFFFFF"/>
                <w:sz w:val="18"/>
                <w:szCs w:val="18"/>
              </w:rPr>
              <w:t xml:space="preserve">Time</w:t>
            </w:r>
          </w:p>
        </w:tc>
        <w:tc>
          <w:tcPr>
            <w:tcW w:type="dxa" w:w="2995"/>
            <w:shd w:fill="101828" w:color="auto" w:val="clear"/>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FFFFFF"/>
                <w:sz w:val="18"/>
                <w:szCs w:val="18"/>
              </w:rPr>
              <w:t xml:space="preserve">Topic</w:t>
            </w:r>
          </w:p>
        </w:tc>
        <w:tc>
          <w:tcPr>
            <w:tcW w:type="dxa" w:w="4680"/>
            <w:shd w:fill="101828" w:color="auto" w:val="clear"/>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FFFFFF"/>
                <w:sz w:val="18"/>
                <w:szCs w:val="18"/>
              </w:rPr>
              <w:t xml:space="preserve">Purpose</w:t>
            </w:r>
          </w:p>
        </w:tc>
      </w:tr>
      <w:tr>
        <w:trPr>
          <w:cantSplit/>
          <w:tblHeader w:val="false"/>
        </w:trPr>
        <w:tc>
          <w:tcPr>
            <w:tcW w:type="dxa" w:w="1685"/>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101828"/>
                <w:sz w:val="18"/>
                <w:szCs w:val="18"/>
              </w:rPr>
              <w:t xml:space="preserve">0 to 5 min</w:t>
            </w:r>
          </w:p>
        </w:tc>
        <w:tc>
          <w:tcPr>
            <w:tcW w:type="dxa" w:w="2995"/>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Trigger and desired outcome</w:t>
            </w:r>
          </w:p>
        </w:tc>
        <w:tc>
          <w:tcPr>
            <w:tcW w:type="dxa" w:w="4680"/>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Establish urgency and business context</w:t>
            </w:r>
          </w:p>
        </w:tc>
      </w:tr>
      <w:tr>
        <w:trPr>
          <w:cantSplit/>
          <w:tblHeader w:val="false"/>
        </w:trPr>
        <w:tc>
          <w:tcPr>
            <w:tcW w:type="dxa" w:w="1685"/>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101828"/>
                <w:sz w:val="18"/>
                <w:szCs w:val="18"/>
              </w:rPr>
              <w:t xml:space="preserve">5 to 15 min</w:t>
            </w:r>
          </w:p>
        </w:tc>
        <w:tc>
          <w:tcPr>
            <w:tcW w:type="dxa" w:w="2995"/>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Products, customer and marketplace</w:t>
            </w:r>
          </w:p>
        </w:tc>
        <w:tc>
          <w:tcPr>
            <w:tcW w:type="dxa" w:w="4680"/>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Understand category, portfolio and shopper decision</w:t>
            </w:r>
          </w:p>
        </w:tc>
      </w:tr>
      <w:tr>
        <w:trPr>
          <w:cantSplit/>
          <w:tblHeader w:val="false"/>
        </w:trPr>
        <w:tc>
          <w:tcPr>
            <w:tcW w:type="dxa" w:w="1685"/>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101828"/>
                <w:sz w:val="18"/>
                <w:szCs w:val="18"/>
              </w:rPr>
              <w:t xml:space="preserve">15 to 25 min</w:t>
            </w:r>
          </w:p>
        </w:tc>
        <w:tc>
          <w:tcPr>
            <w:tcW w:type="dxa" w:w="2995"/>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Performance and evidence</w:t>
            </w:r>
          </w:p>
        </w:tc>
        <w:tc>
          <w:tcPr>
            <w:tcW w:type="dxa" w:w="4680"/>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Review symptoms, data and external factors</w:t>
            </w:r>
          </w:p>
        </w:tc>
      </w:tr>
      <w:tr>
        <w:trPr>
          <w:cantSplit/>
          <w:tblHeader w:val="false"/>
        </w:trPr>
        <w:tc>
          <w:tcPr>
            <w:tcW w:type="dxa" w:w="1685"/>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101828"/>
                <w:sz w:val="18"/>
                <w:szCs w:val="18"/>
              </w:rPr>
              <w:t xml:space="preserve">25 to 33 min</w:t>
            </w:r>
          </w:p>
        </w:tc>
        <w:tc>
          <w:tcPr>
            <w:tcW w:type="dxa" w:w="2995"/>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Team and workflow</w:t>
            </w:r>
          </w:p>
        </w:tc>
        <w:tc>
          <w:tcPr>
            <w:tcW w:type="dxa" w:w="4680"/>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Identify decision owners, bottlenecks and capability gaps</w:t>
            </w:r>
          </w:p>
        </w:tc>
      </w:tr>
      <w:tr>
        <w:trPr>
          <w:cantSplit/>
          <w:tblHeader w:val="false"/>
        </w:trPr>
        <w:tc>
          <w:tcPr>
            <w:tcW w:type="dxa" w:w="1685"/>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101828"/>
                <w:sz w:val="18"/>
                <w:szCs w:val="18"/>
              </w:rPr>
              <w:t xml:space="preserve">33 to 39 min</w:t>
            </w:r>
          </w:p>
        </w:tc>
        <w:tc>
          <w:tcPr>
            <w:tcW w:type="dxa" w:w="2995"/>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Working hypothesis</w:t>
            </w:r>
          </w:p>
        </w:tc>
        <w:tc>
          <w:tcPr>
            <w:tcW w:type="dxa" w:w="4680"/>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Separate likely positioning, content, traffic, offer and operating issues</w:t>
            </w:r>
          </w:p>
        </w:tc>
      </w:tr>
      <w:tr>
        <w:trPr>
          <w:cantSplit/>
          <w:tblHeader w:val="false"/>
        </w:trPr>
        <w:tc>
          <w:tcPr>
            <w:tcW w:type="dxa" w:w="1685"/>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101828"/>
                <w:sz w:val="18"/>
                <w:szCs w:val="18"/>
              </w:rPr>
              <w:t xml:space="preserve">39 to 45 min</w:t>
            </w:r>
          </w:p>
        </w:tc>
        <w:tc>
          <w:tcPr>
            <w:tcW w:type="dxa" w:w="2995"/>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Next step</w:t>
            </w:r>
          </w:p>
        </w:tc>
        <w:tc>
          <w:tcPr>
            <w:tcW w:type="dxa" w:w="4680"/>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 xml:space="preserve">Choose diagnostic, sprint or workshop</w:t>
            </w:r>
          </w:p>
        </w:tc>
      </w:tr>
    </w:tbl>
    <w:p>
      <w:pPr>
        <w:pStyle w:val="Heading3"/>
        <w:keepNext/>
        <w:keepLines/>
        <w:widowControl/>
      </w:pPr>
      <w:r>
        <w:rPr>
          <w:rFonts w:ascii="Inter" w:hAnsi="Inter" w:eastAsia="Inter" w:cs="Inter"/>
          <w:color w:val="315BFF"/>
        </w:rPr>
        <w:t>30-minute training call</w:t>
      </w:r>
    </w:p>
    <w:p>
      <w:pPr>
        <w:spacing w:after="160" w:before="0"/>
      </w:pPr>
    </w:p>
    <w:tbl>
      <w:tblPr>
        <w:tblW w:type="dxa" w:w="9360"/>
        <w:tblBorders>
          <w:top w:val="nil" w:color="D9DEE8" w:sz="4"/>
          <w:left w:val="none" w:color="FFFFFF" w:sz="0"/>
          <w:bottom w:val="single" w:color="D9DEE8" w:sz="5" w:space="0"/>
          <w:right w:val="none" w:color="FFFFFF" w:sz="0"/>
          <w:insideH w:val="single" w:color="D9DEE8" w:sz="5" w:space="0"/>
          <w:insideV w:val="nil" w:color="FFFFFF" w:sz="0"/>
          <w:start w:val="nil"/>
          <w:end w:val="nil"/>
        </w:tblBorders>
        <w:tblLayout w:type="fixed"/>
      </w:tblPr>
      <w:tblGrid>
        <w:gridCol w:w="1685"/>
        <w:gridCol w:w="2995"/>
        <w:gridCol w:w="4680"/>
      </w:tblGrid>
      <w:tr>
        <w:trPr>
          <w:cantSplit/>
          <w:tblHeader w:val="true"/>
        </w:trPr>
        <w:tc>
          <w:tcPr>
            <w:tcW w:type="dxa" w:w="1685"/>
            <w:shd w:fill="101828" w:color="auto" w:val="clear"/>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FFFFFF"/>
                <w:sz w:val="18"/>
                <w:szCs w:val="18"/>
              </w:rPr>
              <w:t>Time</w:t>
            </w:r>
          </w:p>
        </w:tc>
        <w:tc>
          <w:tcPr>
            <w:tcW w:type="dxa" w:w="2995"/>
            <w:shd w:fill="101828" w:color="auto" w:val="clear"/>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FFFFFF"/>
                <w:sz w:val="18"/>
                <w:szCs w:val="18"/>
              </w:rPr>
              <w:t>Topic</w:t>
            </w:r>
          </w:p>
        </w:tc>
        <w:tc>
          <w:tcPr>
            <w:tcW w:type="dxa" w:w="4680"/>
            <w:shd w:fill="101828" w:color="auto" w:val="clear"/>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FFFFFF"/>
                <w:sz w:val="18"/>
                <w:szCs w:val="18"/>
              </w:rPr>
              <w:t>Purpose</w:t>
            </w:r>
          </w:p>
        </w:tc>
      </w:tr>
      <w:tr>
        <w:trPr>
          <w:cantSplit/>
          <w:tblHeader w:val="false"/>
        </w:trPr>
        <w:tc>
          <w:tcPr>
            <w:tcW w:type="dxa" w:w="1685"/>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101828"/>
                <w:sz w:val="18"/>
                <w:szCs w:val="18"/>
              </w:rPr>
              <w:t>0 to 4 min</w:t>
            </w:r>
          </w:p>
        </w:tc>
        <w:tc>
          <w:tcPr>
            <w:tcW w:type="dxa" w:w="2995"/>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Trigger and sponsor</w:t>
            </w:r>
          </w:p>
        </w:tc>
        <w:tc>
          <w:tcPr>
            <w:tcW w:type="dxa" w:w="4680"/>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Understand why training is needed now</w:t>
            </w:r>
          </w:p>
        </w:tc>
      </w:tr>
      <w:tr>
        <w:trPr>
          <w:cantSplit/>
          <w:tblHeader w:val="false"/>
        </w:trPr>
        <w:tc>
          <w:tcPr>
            <w:tcW w:type="dxa" w:w="1685"/>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101828"/>
                <w:sz w:val="18"/>
                <w:szCs w:val="18"/>
              </w:rPr>
              <w:t>4 to 10 min</w:t>
            </w:r>
          </w:p>
        </w:tc>
        <w:tc>
          <w:tcPr>
            <w:tcW w:type="dxa" w:w="2995"/>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Participants and roles</w:t>
            </w:r>
          </w:p>
        </w:tc>
        <w:tc>
          <w:tcPr>
            <w:tcW w:type="dxa" w:w="4680"/>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Identify who does, reviews, approves or manages the work</w:t>
            </w:r>
          </w:p>
        </w:tc>
      </w:tr>
      <w:tr>
        <w:trPr>
          <w:cantSplit/>
          <w:tblHeader w:val="false"/>
        </w:trPr>
        <w:tc>
          <w:tcPr>
            <w:tcW w:type="dxa" w:w="1685"/>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101828"/>
                <w:sz w:val="18"/>
                <w:szCs w:val="18"/>
              </w:rPr>
              <w:t>10 to 16 min</w:t>
            </w:r>
          </w:p>
        </w:tc>
        <w:tc>
          <w:tcPr>
            <w:tcW w:type="dxa" w:w="2995"/>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Current workflow and quality gaps</w:t>
            </w:r>
          </w:p>
        </w:tc>
        <w:tc>
          <w:tcPr>
            <w:tcW w:type="dxa" w:w="4680"/>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Understand inconsistency, delays, dependency or rework</w:t>
            </w:r>
          </w:p>
        </w:tc>
      </w:tr>
      <w:tr>
        <w:trPr>
          <w:cantSplit/>
          <w:tblHeader w:val="false"/>
        </w:trPr>
        <w:tc>
          <w:tcPr>
            <w:tcW w:type="dxa" w:w="1685"/>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101828"/>
                <w:sz w:val="18"/>
                <w:szCs w:val="18"/>
              </w:rPr>
              <w:t>16 to 21 min</w:t>
            </w:r>
          </w:p>
        </w:tc>
        <w:tc>
          <w:tcPr>
            <w:tcW w:type="dxa" w:w="2995"/>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Live products or client situations</w:t>
            </w:r>
          </w:p>
        </w:tc>
        <w:tc>
          <w:tcPr>
            <w:tcW w:type="dxa" w:w="4680"/>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Select the work to use during the program</w:t>
            </w:r>
          </w:p>
        </w:tc>
      </w:tr>
      <w:tr>
        <w:trPr>
          <w:cantSplit/>
          <w:tblHeader w:val="false"/>
        </w:trPr>
        <w:tc>
          <w:tcPr>
            <w:tcW w:type="dxa" w:w="1685"/>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101828"/>
                <w:sz w:val="18"/>
                <w:szCs w:val="18"/>
              </w:rPr>
              <w:t>21 to 25 min</w:t>
            </w:r>
          </w:p>
        </w:tc>
        <w:tc>
          <w:tcPr>
            <w:tcW w:type="dxa" w:w="2995"/>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Applied and capability outcomes</w:t>
            </w:r>
          </w:p>
        </w:tc>
        <w:tc>
          <w:tcPr>
            <w:tcW w:type="dxa" w:w="4680"/>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Define what participants should produce and repeat</w:t>
            </w:r>
          </w:p>
        </w:tc>
      </w:tr>
      <w:tr>
        <w:trPr>
          <w:cantSplit/>
          <w:tblHeader w:val="false"/>
        </w:trPr>
        <w:tc>
          <w:tcPr>
            <w:tcW w:type="dxa" w:w="1685"/>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101828"/>
                <w:sz w:val="18"/>
                <w:szCs w:val="18"/>
              </w:rPr>
              <w:t>25 to 28 min</w:t>
            </w:r>
          </w:p>
        </w:tc>
        <w:tc>
          <w:tcPr>
            <w:tcW w:type="dxa" w:w="2995"/>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Format and follow-through</w:t>
            </w:r>
          </w:p>
        </w:tc>
        <w:tc>
          <w:tcPr>
            <w:tcW w:type="dxa" w:w="4680"/>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Agree timing, cohort size, materials, owner and review</w:t>
            </w:r>
          </w:p>
        </w:tc>
      </w:tr>
      <w:tr>
        <w:trPr>
          <w:cantSplit/>
          <w:tblHeader w:val="false"/>
        </w:trPr>
        <w:tc>
          <w:tcPr>
            <w:tcW w:type="dxa" w:w="1685"/>
            <w:tcMar>
              <w:top w:type="dxa" w:w="80"/>
              <w:left w:type="dxa" w:w="120"/>
              <w:bottom w:type="dxa" w:w="80"/>
              <w:right w:type="dxa" w:w="120"/>
              <w:start w:w="100" w:type="dxa"/>
              <w:end w:w="100" w:type="dxa"/>
            </w:tcMar>
            <w:vAlign w:val="center"/>
          </w:tcPr>
          <w:p>
            <w:pPr>
              <w:spacing w:after="40"/>
            </w:pPr>
            <w:r>
              <w:rPr>
                <w:rFonts w:ascii="Inter" w:hAnsi="Inter" w:eastAsia="Inter" w:cs="Inter"/>
                <w:b/>
                <w:bCs/>
                <w:color w:val="101828"/>
                <w:sz w:val="18"/>
                <w:szCs w:val="18"/>
              </w:rPr>
              <w:t>28 to 30 min</w:t>
            </w:r>
          </w:p>
        </w:tc>
        <w:tc>
          <w:tcPr>
            <w:tcW w:type="dxa" w:w="2995"/>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Recommendation</w:t>
            </w:r>
          </w:p>
        </w:tc>
        <w:tc>
          <w:tcPr>
            <w:tcW w:type="dxa" w:w="4680"/>
            <w:tcMar>
              <w:top w:type="dxa" w:w="80"/>
              <w:left w:type="dxa" w:w="120"/>
              <w:bottom w:type="dxa" w:w="80"/>
              <w:right w:type="dxa" w:w="120"/>
              <w:start w:w="100" w:type="dxa"/>
              <w:end w:w="100" w:type="dxa"/>
            </w:tcMar>
            <w:vAlign w:val="center"/>
          </w:tcPr>
          <w:p>
            <w:pPr>
              <w:spacing w:after="40"/>
            </w:pPr>
            <w:r>
              <w:rPr>
                <w:rFonts w:ascii="Inter" w:hAnsi="Inter" w:eastAsia="Inter" w:cs="Inter"/>
                <w:b w:val="0"/>
                <w:bCs w:val="false"/>
                <w:color w:val="101828"/>
                <w:sz w:val="18"/>
                <w:szCs w:val="18"/>
              </w:rPr>
              <w:t>Confirm program, scope, next decision or no-fit outcome</w:t>
            </w:r>
          </w:p>
        </w:tc>
      </w:tr>
    </w:tbl>
    <w:p>
      <w:pPr>
        <w:pStyle w:val="Heading3"/>
        <w:keepNext/>
        <w:keepLines/>
        <w:widowControl/>
      </w:pPr>
      <w:r>
        <w:rPr>
          <w:rFonts w:ascii="Inter" w:hAnsi="Inter" w:eastAsia="Inter" w:cs="Inter"/>
          <w:color w:val="315BFF"/>
        </w:rPr>
        <w:t xml:space="preserve">Closing language</w:t>
      </w:r>
    </w:p>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360"/>
      </w:tblGrid>
      <w:tr>
        <w:trPr>
          <w:cantSplit/>
          <w:tblHeader w:val="true"/>
        </w:trPr>
        <w:tc>
          <w:tcPr>
            <w:tcW w:type="dxa" w:w="9360"/>
            <w:tcBorders>
              <w:top w:val="nil" w:color="FFFFFF" w:sz="0"/>
              <w:left w:val="single" w:color="315BFF" w:sz="20" w:space="0"/>
              <w:bottom w:val="nil" w:color="FFFFFF" w:sz="0"/>
              <w:right w:val="none" w:color="FFFFFF" w:sz="0"/>
              <w:end w:val="nil"/>
            </w:tcBorders>
            <w:shd w:fill="EAF0FF" w:color="auto" w:val="clear"/>
            <w:tcMar>
              <w:top w:type="dxa" w:w="120"/>
              <w:left w:type="dxa" w:w="240"/>
              <w:bottom w:type="dxa" w:w="120"/>
              <w:right w:type="dxa" w:w="240"/>
              <w:start w:w="160" w:type="dxa"/>
              <w:end w:w="160" w:type="dxa"/>
            </w:tcMar>
          </w:tcPr>
          <w:p>
            <w:pPr>
              <w:spacing w:after="70"/>
            </w:pPr>
            <w:r>
              <w:rPr>
                <w:rFonts w:ascii="Inter" w:hAnsi="Inter" w:eastAsia="Inter" w:cs="Inter"/>
                <w:b/>
                <w:bCs/>
                <w:color w:val="101828"/>
                <w:sz w:val="19"/>
                <w:szCs w:val="19"/>
              </w:rPr>
              <w:t xml:space="preserve">When there is a fit:</w:t>
            </w:r>
            <w:r>
              <w:rPr>
                <w:rFonts w:ascii="Inter" w:hAnsi="Inter" w:eastAsia="Inter" w:cs="Inter"/>
                <w:color w:val="101828"/>
                <w:sz w:val="19"/>
                <w:szCs w:val="19"/>
              </w:rPr>
              <w:t xml:space="preserve"> The most useful next step is not a broad proposal. It is a bounded [diagnostic, pilot or workshop] that will answer [decision], produce [output] and establish [measure].</w:t>
            </w:r>
          </w:p>
          <w:p>
            <w:pPr>
              <w:spacing w:after="70"/>
            </w:pPr>
            <w:r>
              <w:rPr>
                <w:rFonts w:ascii="Inter" w:hAnsi="Inter" w:eastAsia="Inter" w:cs="Inter"/>
                <w:b/>
                <w:bCs/>
                <w:color w:val="101828"/>
                <w:sz w:val="19"/>
                <w:szCs w:val="19"/>
              </w:rPr>
              <w:t xml:space="preserve">When there is not a fit:</w:t>
            </w:r>
            <w:r>
              <w:rPr>
                <w:rFonts w:ascii="Inter" w:hAnsi="Inter" w:eastAsia="Inter" w:cs="Inter"/>
                <w:color w:val="101828"/>
                <w:sz w:val="19"/>
                <w:szCs w:val="19"/>
              </w:rPr>
              <w:t xml:space="preserve"> Based on the current need, ADelier is unlikely to be the best partner because [reason]. The more appropriate route is [honest alternative].</w:t>
            </w:r>
          </w:p>
        </w:tc>
      </w:tr>
    </w:tbl>
    <w:p>
      <w:r>
        <w:br w:type="page"/>
      </w:r>
    </w:p>
    <w:p>
      <w:pPr>
        <w:pStyle w:val="Title"/>
      </w:pPr>
      <w:r>
        <w:t>2026 content alignment | Amazon PPC expansion</w:t>
      </w:r>
    </w:p>
    <w:p>
      <w:r>
        <w:t>Approved brand system retained. This update integrates the business-partner website proposal as an additional service direction; operational availability and commercial terms require owner confirmation.</w:t>
      </w:r>
    </w:p>
    <w:p>
      <w:r>
        <w:rPr>
          <w:b/>
          <w:color w:val="315BFF"/>
          <w:sz w:val="30"/>
        </w:rPr>
        <w:t>Revised launch offer architecture</w:t>
      </w:r>
    </w:p>
    <w:p>
      <w:r>
        <w:t>PPC is a core delivery line alongside positioning, listings and conversion creative, not a replacement. Offer Amazon PPC Management for Brands; White-Label PPC Management for Agencies; Dedicated PPC Specialists for Agencies; Amazon Account and Advertising Audits; Product and Market Validation; Marketplace Conversion Delivery; and Standalone Applied Training. Final capacity, pricing and launch readiness must be confirmed before publication.</w:t>
      </w:r>
    </w:p>
    <w:p>
      <w:r>
        <w:rPr>
          <w:b/>
          <w:color w:val="315BFF"/>
          <w:sz w:val="30"/>
        </w:rPr>
        <w:t>Agency service distinction</w:t>
      </w:r>
    </w:p>
    <w:p>
      <w:r>
        <w:t>White-label PPC management: ADelier is accountable for agreed campaign execution and optimization behind the agency brand. Dedicated PPC specialist: a defined specialist integrates into agency workflows under agreed supervision, reporting, access and responsibilities. Do not present these as interchangeable or promise employee-style staffing without contractual review.</w:t>
      </w:r>
    </w:p>
    <w:p>
      <w:r>
        <w:rPr>
          <w:b/>
          <w:color w:val="315BFF"/>
          <w:sz w:val="30"/>
        </w:rPr>
        <w:t>Brand services and PPC operations</w:t>
      </w:r>
    </w:p>
    <w:p>
      <w:r>
        <w:t>Describe campaign structure, keyword and search-term analysis, bid and budget optimization, negative targeting, relevant Sponsored Ads formats, performance review and transparent reporting. Evaluate ACOS and ROAS together with total sales, margin, stock, price and conversion context. Specify access, cadence, scope and responsibility in proposals.</w:t>
      </w:r>
    </w:p>
    <w:p>
      <w:r>
        <w:rPr>
          <w:b/>
          <w:color w:val="315BFF"/>
          <w:sz w:val="30"/>
        </w:rPr>
        <w:t>Audits and market validation</w:t>
      </w:r>
    </w:p>
    <w:p>
      <w:r>
        <w:t>Market validation assesses existing or planned products using keyword demand, competitors, price, advertising competition and indicative commercial scenarios; it is not a product-sourcing service. Audits assess PPC structure, targeting, spend efficiency and listing health, and produce prioritized actions. Do not present estimates as forecasts or guaranteed outcomes.</w:t>
      </w:r>
    </w:p>
    <w:p>
      <w:r>
        <w:rPr>
          <w:b/>
          <w:color w:val="315BFF"/>
          <w:sz w:val="30"/>
        </w:rPr>
        <w:t>Training at launch</w:t>
      </w:r>
    </w:p>
    <w:p>
      <w:r>
        <w:t>Training remains a standalone launch product family, not an add-on. Retain Amazon Conversion Foundations and Agency Marketplace Enablement as established programs; add a scoped Amazon PPC Fundamentals / Optimization training pathway for in-house brand teams and, where appropriate, agencies. Formats may include applied workshops and coaching, subject to delivery readiness.</w:t>
      </w:r>
    </w:p>
    <w:p>
      <w:r>
        <w:rPr>
          <w:b/>
          <w:color w:val="315BFF"/>
          <w:sz w:val="30"/>
        </w:rPr>
        <w:t>Website messaging and three-language parity</w:t>
      </w:r>
    </w:p>
    <w:p>
      <w:r>
        <w:t>Keep Home, For Agencies, For Brands, Training, Services, About and Contact with equal information architecture in EN/PL/DE. Do not restore Results as a standalone tab. On Home, show the three audience routes with equal card treatment and a clear action on each. Brands and Agencies use Cobalt; Training uses Sage icons. Provide audience-specific copy: brand pages do not address agency buyers. Keep claims substantiated and avoid US-based identity claims.</w:t>
      </w:r>
    </w:p>
    <w:p>
      <w:r>
        <w:rPr>
          <w:b/>
          <w:color w:val="315BFF"/>
          <w:sz w:val="30"/>
        </w:rPr>
        <w:t>Suggested master message</w:t>
      </w:r>
    </w:p>
    <w:p>
      <w:r>
        <w:t>ADelier helps brands and agencies improve Amazon advertising performance and the marketplace experience behind conversion. We combine hands-on PPC management, clear commercial decisions, expert-led execution and practical training that teams can apply independently.</w:t>
      </w:r>
    </w:p>
    <w:sectPr>
      <w:footerReference w:type="default" r:id="rId7"/>
      <w:pgSz w:w="12240" w:h="15840" w:orient="portrait"/>
      <w:pgMar w:top="1440" w:right="1440" w:bottom="1300" w:left="1440" w:header="708" w:footer="600" w:gutter="0"/>
      <w:pgNumType w:start="2"/>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Manrope"/>
  <w:font w:name="Inter"/>
  <w:font w:name="Source Serif 4"/>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EE8" w:sz="4" w:space="4"/>
      </w:pBdr>
      <w:tabs>
        <w:tab w:val="right" w:pos="9360"/>
      </w:tabs>
    </w:pPr>
    <w:r>
      <w:rPr>
        <w:rFonts w:ascii="Inter" w:hAnsi="Inter" w:eastAsia="Inter" w:cs="Inter"/>
        <w:color w:val="5C667A"/>
        <w:sz w:val="15"/>
        <w:szCs w:val="15"/>
      </w:rPr>
      <w:t>ADelier Commerce  |  Commercial Playbook 1.6</w:t>
      <w:tab/>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9DEE8"/>
      </w:pBd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rPr>
        <w:color w:val="315BFF"/>
      </w:rPr>
    </w:lvl>
  </w:abstractNum>
  <w:abstractNum w:abstractNumId="3" w15:restartNumberingAfterBreak="0">
    <w:multiLevelType w:val="hybridMultilevel"/>
    <w:lvl w:ilvl="0" w15:tentative="1">
      <w:start w:val="1"/>
      <w:numFmt w:val="decimal"/>
      <w:lvlText w:val="%1."/>
      <w:lvlJc w:val="left"/>
      <w:pPr>
        <w:ind w:left="360" w:hanging="300"/>
      </w:pPr>
      <w:rPr>
        <w:b/>
        <w:bCs/>
        <w:color w:val="315BFF"/>
      </w:rPr>
    </w:lvl>
  </w:abstractNum>
  <w:abstractNum w:abstractNumId="4" w15:restartNumberingAfterBreak="0">
    <w:multiLevelType w:val="hybridMultilevel"/>
    <w:lvl w:ilvl="0" w15:tentative="1">
      <w:start w:val="1"/>
      <w:numFmt w:val="decimal"/>
      <w:lvlText w:val="%1."/>
      <w:lvlJc w:val="left"/>
      <w:pPr>
        <w:ind w:left="360" w:hanging="300"/>
      </w:pPr>
      <w:rPr>
        <w:b/>
        <w:bCs/>
        <w:color w:val="315BFF"/>
      </w:rPr>
    </w:lvl>
  </w:abstractNum>
  <w:abstractNum w:abstractNumId="5" w15:restartNumberingAfterBreak="0">
    <w:multiLevelType w:val="hybridMultilevel"/>
    <w:lvl w:ilvl="0" w15:tentative="1">
      <w:start w:val="1"/>
      <w:numFmt w:val="decimal"/>
      <w:lvlText w:val="%1."/>
      <w:lvlJc w:val="left"/>
      <w:pPr>
        <w:ind w:left="360" w:hanging="300"/>
      </w:pPr>
      <w:rPr>
        <w:b/>
        <w:bCs/>
        <w:color w:val="315BFF"/>
      </w:rPr>
    </w:lvl>
  </w:abstractNum>
  <w:abstractNum w:abstractNumId="6" w15:restartNumberingAfterBreak="0">
    <w:multiLevelType w:val="hybridMultilevel"/>
    <w:lvl w:ilvl="0" w15:tentative="1">
      <w:start w:val="1"/>
      <w:numFmt w:val="decimal"/>
      <w:lvlText w:val="%1."/>
      <w:lvlJc w:val="left"/>
      <w:pPr>
        <w:ind w:left="360" w:hanging="300"/>
      </w:pPr>
      <w:rPr>
        <w:b/>
        <w:bCs/>
        <w:color w:val="315BFF"/>
      </w:rPr>
    </w:lvl>
  </w:abstractNum>
  <w:abstractNum w:abstractNumId="7" w15:restartNumberingAfterBreak="0">
    <w:multiLevelType w:val="hybridMultilevel"/>
    <w:lvl w:ilvl="0" w15:tentative="1">
      <w:start w:val="1"/>
      <w:numFmt w:val="decimal"/>
      <w:lvlText w:val="%1."/>
      <w:lvlJc w:val="left"/>
      <w:pPr>
        <w:ind w:left="360" w:hanging="300"/>
      </w:pPr>
      <w:rPr>
        <w:b/>
        <w:bCs/>
        <w:color w:val="315BFF"/>
      </w:rPr>
    </w:lvl>
  </w:abstractNum>
  <w:abstractNum w:abstractNumId="8" w15:restartNumberingAfterBreak="0">
    <w:multiLevelType w:val="hybridMultilevel"/>
    <w:lvl w:ilvl="0" w15:tentative="1">
      <w:start w:val="1"/>
      <w:numFmt w:val="decimal"/>
      <w:lvlText w:val="%1."/>
      <w:lvlJc w:val="left"/>
      <w:pPr>
        <w:ind w:left="360" w:hanging="300"/>
      </w:pPr>
      <w:rPr>
        <w:b/>
        <w:bCs/>
        <w:color w:val="315BFF"/>
      </w:rPr>
    </w:lvl>
  </w:abstractNum>
  <w:abstractNum w:abstractNumId="9" w15:restartNumberingAfterBreak="0">
    <w:multiLevelType w:val="hybridMultilevel"/>
    <w:lvl w:ilvl="0" w15:tentative="1">
      <w:start w:val="1"/>
      <w:numFmt w:val="decimal"/>
      <w:lvlText w:val="%1."/>
      <w:lvlJc w:val="left"/>
      <w:pPr>
        <w:ind w:left="360" w:hanging="300"/>
      </w:pPr>
      <w:rPr>
        <w:b/>
        <w:bCs/>
        <w:color w:val="315BFF"/>
      </w:rPr>
    </w:lvl>
  </w:abstractNum>
  <w:abstractNum w:abstractNumId="10" w15:restartNumberingAfterBreak="0">
    <w:multiLevelType w:val="hybridMultilevel"/>
    <w:lvl w:ilvl="0" w15:tentative="1">
      <w:start w:val="1"/>
      <w:numFmt w:val="decimal"/>
      <w:lvlText w:val="%1."/>
      <w:lvlJc w:val="left"/>
      <w:pPr>
        <w:ind w:left="360" w:hanging="300"/>
      </w:pPr>
      <w:rPr>
        <w:b/>
        <w:bCs/>
        <w:color w:val="315BFF"/>
      </w:rPr>
    </w:lvl>
  </w:abstractNum>
  <w:abstractNum w:abstractNumId="11" w15:restartNumberingAfterBreak="0">
    <w:multiLevelType w:val="hybridMultilevel"/>
    <w:lvl w:ilvl="0" w15:tentative="1">
      <w:start w:val="1"/>
      <w:numFmt w:val="decimal"/>
      <w:lvlText w:val="%1."/>
      <w:lvlJc w:val="left"/>
      <w:pPr>
        <w:ind w:left="360" w:hanging="300"/>
      </w:pPr>
      <w:rPr>
        <w:b/>
        <w:bCs/>
        <w:color w:val="315BFF"/>
      </w:rPr>
    </w:lvl>
  </w:abstractNum>
  <w:abstractNum w:abstractNumId="12" w15:restartNumberingAfterBreak="0">
    <w:multiLevelType w:val="hybridMultilevel"/>
    <w:lvl w:ilvl="0" w15:tentative="1">
      <w:start w:val="1"/>
      <w:numFmt w:val="decimal"/>
      <w:lvlText w:val="%1."/>
      <w:lvlJc w:val="left"/>
      <w:pPr>
        <w:ind w:left="360" w:hanging="300"/>
      </w:pPr>
      <w:rPr>
        <w:b/>
        <w:bCs/>
        <w:color w:val="315BFF"/>
      </w:rPr>
    </w:lvl>
  </w:abstractNum>
  <w:abstractNum w:abstractNumId="13" w15:restartNumberingAfterBreak="0">
    <w:multiLevelType w:val="hybridMultilevel"/>
    <w:lvl w:ilvl="0" w15:tentative="1">
      <w:start w:val="1"/>
      <w:numFmt w:val="decimal"/>
      <w:lvlText w:val="%1."/>
      <w:lvlJc w:val="left"/>
      <w:pPr>
        <w:ind w:left="360" w:hanging="300"/>
      </w:pPr>
      <w:rPr>
        <w:b/>
        <w:bCs/>
        <w:color w:val="315BFF"/>
      </w:rPr>
    </w:lvl>
  </w:abstractNum>
  <w:abstractNum w:abstractNumId="14" w15:restartNumberingAfterBreak="0">
    <w:multiLevelType w:val="hybridMultilevel"/>
    <w:lvl w:ilvl="0" w15:tentative="1">
      <w:start w:val="1"/>
      <w:numFmt w:val="decimal"/>
      <w:lvlText w:val="%1."/>
      <w:lvlJc w:val="left"/>
      <w:pPr>
        <w:ind w:left="360" w:hanging="300"/>
      </w:pPr>
      <w:rPr>
        <w:b/>
        <w:bCs/>
        <w:color w:val="315BFF"/>
      </w:rPr>
    </w:lvl>
  </w:abstractNum>
  <w:abstractNum w:abstractNumId="15" w15:restartNumberingAfterBreak="0">
    <w:multiLevelType w:val="hybridMultilevel"/>
    <w:lvl w:ilvl="0" w15:tentative="1">
      <w:start w:val="1"/>
      <w:numFmt w:val="decimal"/>
      <w:lvlText w:val="%1."/>
      <w:lvlJc w:val="left"/>
      <w:pPr>
        <w:ind w:left="360" w:hanging="300"/>
      </w:pPr>
      <w:rPr>
        <w:b/>
        <w:bCs/>
        <w:color w:val="315BFF"/>
      </w:rPr>
    </w:lvl>
  </w:abstractNum>
  <w:abstractNum w:abstractNumId="16" w15:restartNumberingAfterBreak="0">
    <w:multiLevelType w:val="hybridMultilevel"/>
    <w:lvl w:ilvl="0" w15:tentative="1">
      <w:start w:val="1"/>
      <w:numFmt w:val="decimal"/>
      <w:lvlText w:val="%1."/>
      <w:lvlJc w:val="left"/>
      <w:pPr>
        <w:ind w:left="360" w:hanging="300"/>
      </w:pPr>
      <w:rPr>
        <w:b/>
        <w:bCs/>
        <w:color w:val="315BFF"/>
      </w:rPr>
    </w:lvl>
  </w:abstractNum>
  <w:abstractNum w:abstractNumId="17" w15:restartNumberingAfterBreak="0">
    <w:multiLevelType w:val="hybridMultilevel"/>
    <w:lvl w:ilvl="0" w15:tentative="1">
      <w:start w:val="1"/>
      <w:numFmt w:val="decimal"/>
      <w:lvlText w:val="%1."/>
      <w:lvlJc w:val="left"/>
      <w:pPr>
        <w:ind w:left="360" w:hanging="300"/>
      </w:pPr>
      <w:rPr>
        <w:b/>
        <w:bCs/>
        <w:color w:val="315BFF"/>
      </w:rPr>
    </w:lvl>
  </w:abstractNum>
  <w:abstractNum w:abstractNumId="18" w15:restartNumberingAfterBreak="0">
    <w:multiLevelType w:val="hybridMultilevel"/>
    <w:lvl w:ilvl="0" w15:tentative="1">
      <w:start w:val="1"/>
      <w:numFmt w:val="decimal"/>
      <w:lvlText w:val="%1."/>
      <w:lvlJc w:val="left"/>
      <w:pPr>
        <w:ind w:left="360" w:hanging="300"/>
      </w:pPr>
      <w:rPr>
        <w:b/>
        <w:bCs/>
        <w:color w:val="315BFF"/>
      </w:rPr>
    </w:lvl>
  </w:abstractNum>
  <w:abstractNum w:abstractNumId="19" w15:restartNumberingAfterBreak="0">
    <w:multiLevelType w:val="hybridMultilevel"/>
    <w:lvl w:ilvl="0" w15:tentative="1">
      <w:start w:val="1"/>
      <w:numFmt w:val="decimal"/>
      <w:lvlText w:val="%1."/>
      <w:lvlJc w:val="left"/>
      <w:pPr>
        <w:ind w:left="360" w:hanging="300"/>
      </w:pPr>
      <w:rPr>
        <w:b/>
        <w:bCs/>
        <w:color w:val="315BFF"/>
      </w:rPr>
    </w:lvl>
  </w:abstractNum>
  <w:abstractNum w:abstractNumId="20" w15:restartNumberingAfterBreak="0">
    <w:multiLevelType w:val="hybridMultilevel"/>
    <w:lvl w:ilvl="0" w15:tentative="1">
      <w:start w:val="1"/>
      <w:numFmt w:val="decimal"/>
      <w:lvlText w:val="%1."/>
      <w:lvlJc w:val="left"/>
      <w:pPr>
        <w:ind w:left="360" w:hanging="300"/>
      </w:pPr>
      <w:rPr>
        <w:b/>
        <w:bCs/>
        <w:color w:val="315BFF"/>
      </w:rPr>
    </w:lvl>
  </w:abstractNum>
  <w:num w:numId="1">
    <w:abstractNumId w:val="1"/>
    <w:lvlOverride w:ilvl="0">
      <w:startOverride w:val="1"/>
    </w:lvlOverride>
  </w:num>
  <w:num w:numId="2">
    <w:abstractNumId w:val="2"/>
    <w:lvlOverride w:ilvl="0">
      <w:startOverride w:val="1"/>
    </w:lvlOverride>
  </w:num>
  <w:num w:numId="3">
    <w:abstractNumId w:val="6"/>
    <w:lvlOverride w:ilvl="0">
      <w:startOverride w:val="1"/>
    </w:lvlOverride>
  </w:num>
  <w:num w:numId="4">
    <w:abstractNumId w:val="7"/>
    <w:lvlOverride w:ilvl="0">
      <w:startOverride w:val="1"/>
    </w:lvlOverride>
  </w:num>
  <w:num w:numId="5">
    <w:abstractNumId w:val="9"/>
    <w:lvlOverride w:ilvl="0">
      <w:startOverride w:val="1"/>
    </w:lvlOverride>
  </w:num>
  <w:num w:numId="6">
    <w:abstractNumId w:val="1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nter" w:cs="Inter" w:eastAsia="Inter" w:hAnsi="Inter"/>
        <w:color w:val="101828"/>
        <w:sz w:val="20"/>
        <w:szCs w:val="20"/>
      </w:rPr>
    </w:rPrDefault>
    <w:pPrDefault>
      <w:pPr>
        <w:spacing w:line="300"/>
      </w:pPr>
    </w:pPrDefault>
  </w:docDefaults>
  <w:style w:type="paragraph" w:styleId="Title">
    <w:name w:val="Title"/>
    <w:basedOn w:val="Normal"/>
    <w:next w:val="Normal"/>
    <w:qFormat/>
    <w:rPr>
      <w:rFonts w:ascii="Manrope" w:hAnsi="Manrope" w:eastAsia="Manrope" w:cs="Manrope"/>
      <w:b/>
      <w:color w:val="101828"/>
      <w:sz w:val="56"/>
      <w:szCs w:val="56"/>
    </w:rPr>
  </w:style>
  <w:style w:type="paragraph" w:styleId="Heading1">
    <w:name w:val="Heading 1"/>
    <w:basedOn w:val="Normal"/>
    <w:next w:val="Normal"/>
    <w:qFormat/>
    <w:rPr>
      <w:rFonts w:ascii="Manrope" w:hAnsi="Manrope" w:eastAsia="Manrope" w:cs="Manrope"/>
      <w:b/>
      <w:color w:val="101828"/>
      <w:sz w:val="32"/>
      <w:szCs w:val="32"/>
    </w:rPr>
  </w:style>
  <w:style w:type="paragraph" w:styleId="Heading2">
    <w:name w:val="Heading 2"/>
    <w:basedOn w:val="Normal"/>
    <w:next w:val="Normal"/>
    <w:qFormat/>
    <w:rPr>
      <w:rFonts w:ascii="Manrope" w:hAnsi="Manrope" w:eastAsia="Manrope" w:cs="Manrope"/>
      <w:b/>
      <w:color w:val="101828"/>
      <w:sz w:val="26"/>
      <w:szCs w:val="26"/>
    </w:rPr>
  </w:style>
  <w:style w:type="paragraph" w:styleId="Heading3">
    <w:name w:val="Heading 3"/>
    <w:basedOn w:val="Normal"/>
    <w:next w:val="Normal"/>
    <w:qFormat/>
    <w:rPr>
      <w:rFonts w:ascii="Inter" w:hAnsi="Inter" w:eastAsia="Inter" w:cs="Inter"/>
      <w:b/>
      <w:color w:val="315BFF"/>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rPr>
      <w:rFonts w:ascii="Inter" w:hAnsi="Inter" w:eastAsia="Inter" w:cs="Inter"/>
      <w:color w:val="101828"/>
    </w:r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200" w:before="240" w:line="260"/>
      <w:outlineLvl w:val="0"/>
    </w:pPr>
    <w:rPr>
      <w:rFonts w:ascii="Manrope" w:cs="Manrope" w:eastAsia="Manrope" w:hAnsi="Manrope"/>
      <w:b/>
      <w:bCs/>
      <w:color w:val="101828"/>
      <w:sz w:val="52"/>
      <w:szCs w:val="52"/>
    </w:rPr>
  </w:style>
  <w:style w:type="paragraph" w:styleId="Heading2">
    <w:name w:val="Heading 2"/>
    <w:basedOn w:val="Normal"/>
    <w:next w:val="Normal"/>
    <w:qFormat/>
    <w:pPr>
      <w:keepNext/>
      <w:spacing w:after="160" w:before="360" w:line="260"/>
      <w:outlineLvl w:val="1"/>
    </w:pPr>
    <w:rPr>
      <w:rFonts w:ascii="Manrope" w:cs="Manrope" w:eastAsia="Manrope" w:hAnsi="Manrope"/>
      <w:b/>
      <w:bCs/>
      <w:color w:val="101828"/>
      <w:sz w:val="34"/>
      <w:szCs w:val="34"/>
    </w:rPr>
  </w:style>
  <w:style w:type="paragraph" w:styleId="Heading3">
    <w:name w:val="Heading 3"/>
    <w:basedOn w:val="Normal"/>
    <w:next w:val="Normal"/>
    <w:qFormat/>
    <w:pPr>
      <w:keepNext/>
      <w:spacing w:after="100" w:before="240"/>
      <w:outlineLvl w:val="2"/>
    </w:pPr>
    <w:rPr>
      <w:rFonts w:ascii="Inter" w:cs="Inter" w:eastAsia="Inter" w:hAnsi="Inter"/>
      <w:b/>
      <w:bCs/>
      <w:color w:val="315BFF"/>
      <w:sz w:val="23"/>
      <w:szCs w:val="23"/>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 Id="rId9" Type="http://schemas.openxmlformats.org/officeDocument/2006/relationships/header" Target="header1.xml"/><Relationship Id="rId10" Type="http://schemas.openxmlformats.org/officeDocument/2006/relationships/footer" Target="footer2.xml"/><Relationship Id="rId11" Type="http://schemas.openxmlformats.org/officeDocument/2006/relationships/header" Target="header2.xml"/><Relationship Id="rId12" Type="http://schemas.openxmlformats.org/officeDocument/2006/relationships/footer" Target="footer3.xml"/><Relationship Id="rId13" Type="http://schemas.openxmlformats.org/officeDocument/2006/relationships/header" Target="header3.xml"/><Relationship Id="rId14" Type="http://schemas.openxmlformats.org/officeDocument/2006/relationships/footer" Target="footer4.xml"/><Relationship Id="rId15" Type="http://schemas.openxmlformats.org/officeDocument/2006/relationships/image" Target="media/image1.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ADelier Commercial Playbook v1.5</dc:title>
  <dc:creator>ADelier Commerce</dc:creator>
  <cp:lastModifiedBy>Un-named</cp:lastModifiedBy>
  <cp:revision>1</cp:revision>
  <dcterms:created xsi:type="dcterms:W3CDTF">2026-10-16T06:01:36.264Z</dcterms:created>
  <dcterms:modified xsi:type="dcterms:W3CDTF">2026-10-16T06:01:36.264Z</dcterms:modified>
  <dc:subject>ADelier Commerce brand system, typography and operating guidance</dc:subject>
  <dc:description>Version 1.4 introduces Manrope for display typography and presentation guidance.</dc:description>
</cp:coreProperties>
</file>

<file path=docProps/custom.xml><?xml version="1.0" encoding="utf-8"?>
<Properties xmlns="http://schemas.openxmlformats.org/officeDocument/2006/custom-properties" xmlns:vt="http://schemas.openxmlformats.org/officeDocument/2006/docPropsVTypes"/>
</file>