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240"/>
      </w:tblGrid>
      <w:tr>
        <w:trPr>
          <w:trHeight w:val="15800" w:hRule="exact"/>
          <w:tblHeader w:val="true"/>
        </w:trPr>
        <w:tc>
          <w:tcPr>
            <w:tcW w:type="dxa" w:w="12240"/>
            <w:shd w:fill="101828" w:color="auto" w:val="clear"/>
            <w:tcMar>
              <w:top w:type="dxa" w:w="0"/>
              <w:left w:type="dxa" w:w="1440"/>
              <w:bottom w:type="dxa" w:w="0"/>
              <w:right w:type="dxa" w:w="1440"/>
            </w:tcMar>
          </w:tcPr>
          <w:p>
            <w:pPr>
              <w:spacing w:after="120" w:before="1800"/>
            </w:pPr>
            <w:r>
              <w:rPr>
                <w:rFonts w:ascii="Inter" w:cs="Inter" w:eastAsia="Inter" w:hAnsi="Inter"/>
              </w:rPr>
              <w:t xml:space="preserve"/>
            </w:r>
          </w:p>
          <w:p>
            <w:pPr>
              <w:spacing w:after="0"/>
              <w:jc w:val="left"/>
            </w:pPr>
            <w:r>
              <w:rPr>
                <w:rFonts w:ascii="Manrope" w:cs="Manrope" w:eastAsia="Manrope" w:hAnsi="Manrope"/>
                <w:b/>
                <w:bCs/>
                <w:color w:val="315BFF"/>
                <w:sz w:val="64"/>
                <w:szCs w:val="64"/>
              </w:rPr>
            </w:r>
            <w:r>
              <w:rPr>
                <w:rFonts w:ascii="Manrope" w:cs="Manrope" w:eastAsia="Manrope" w:hAnsi="Manrope"/>
                <w:b/>
                <w:bCs/>
                <w:color w:val="FFFFFF"/>
                <w:sz w:val="64"/>
                <w:szCs w:val="64"/>
              </w:rPr>
            </w:r>
            <w:r>
              <w:drawing>
                <wp:inline xmlns:a="http://schemas.openxmlformats.org/drawingml/2006/main" xmlns:pic="http://schemas.openxmlformats.org/drawingml/2006/picture">
                  <wp:extent cx="2240280" cy="760295"/>
                  <wp:docPr id="1" name="Picture 1" descr="Image: image1.png"/>
                  <wp:cNvGraphicFramePr>
                    <a:graphicFrameLocks noChangeAspect="1"/>
                  </wp:cNvGraphicFramePr>
                  <a:graphic>
                    <a:graphicData uri="http://schemas.openxmlformats.org/drawingml/2006/picture">
                      <pic:pic>
                        <pic:nvPicPr>
                          <pic:cNvPr id="0" name="ADelier_FullLogo_Horizontal_Reverse_1600px.png"/>
                          <pic:cNvPicPr/>
                        </pic:nvPicPr>
                        <pic:blipFill>
                          <a:blip r:embed="rId15"/>
                          <a:stretch>
                            <a:fillRect/>
                          </a:stretch>
                        </pic:blipFill>
                        <pic:spPr>
                          <a:xfrm>
                            <a:off x="0" y="0"/>
                            <a:ext cx="2240280" cy="760295"/>
                          </a:xfrm>
                          <a:prstGeom prst="rect"/>
                        </pic:spPr>
                      </pic:pic>
                    </a:graphicData>
                  </a:graphic>
                </wp:inline>
              </w:drawing>
            </w:r>
          </w:p>
          <w:p>
            <w:pPr>
              <w:spacing w:after="2000"/>
            </w:pPr>
            <w:r>
              <w:rPr>
                <w:rFonts w:ascii="Inter" w:cs="Inter" w:eastAsia="Inter" w:hAnsi="Inter"/>
                <w:color w:val="B8C1D6"/>
                <w:spacing w:val="60"/>
                <w:sz w:val="16"/>
                <w:szCs w:val="16"/>
              </w:rPr>
            </w:r>
          </w:p>
          <w:tbl>
            <w:tblPr>
              <w:tblW w:type="dxa" w:w="936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0"/>
              <w:gridCol w:w="8320"/>
              <w:gridCol w:w="520"/>
            </w:tblGrid>
            <w:tr>
              <w:trPr>
                <w:trHeight w:val="360" w:hRule="exact"/>
                <w:tblHeader/>
              </w:trPr>
              <w:tc>
                <w:tcPr>
                  <w:tcW w:type="dxa" w:w="520"/>
                  <w:tcBorders>
                    <w:top w:val="single" w:color="FFFFFF" w:sz="20"/>
                    <w:left w:val="single" w:color="FFFF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83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520"/>
                  <w:tcBorders>
                    <w:top w:val="single" w:color="FFFFFF" w:sz="20"/>
                    <w:left w:val="none" w:color="FFFFFF" w:sz="0"/>
                    <w:bottom w:val="none" w:color="FFFFFF" w:sz="0"/>
                    <w:right w:val="single" w:color="FFFF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5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83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200" w:before="120" w:line="880" w:lineRule="exact"/>
                  </w:pPr>
                  <w:r>
                    <w:rPr>
                      <w:rFonts w:ascii="Manrope" w:cs="Manrope" w:eastAsia="Manrope" w:hAnsi="Manrope"/>
                      <w:b/>
                      <w:bCs/>
                      <w:color w:val="FFFFFF"/>
                      <w:sz w:val="76"/>
                      <w:szCs w:val="76"/>
                    </w:rPr>
                    <w:t xml:space="preserve">Delivery and Training Standard</w:t>
                  </w:r>
                </w:p>
                <w:p>
                  <w:pPr>
                    <w:pBdr>
                      <w:bottom w:val="single" w:color="3FAF8F" w:sz="18" w:space="1"/>
                    </w:pBdr>
                    <w:spacing w:after="300"/>
                    <w:ind w:right="5400"/>
                  </w:pPr>
                </w:p>
                <w:p>
                  <w:pPr>
                    <w:spacing w:after="120"/>
                  </w:pPr>
                  <w:r>
                    <w:rPr>
                      <w:rFonts w:ascii="Source Serif 4" w:cs="Source Serif 4" w:eastAsia="Source Serif 4" w:hAnsi="Source Serif 4"/>
                      <w:i/>
                      <w:iCs/>
                      <w:color w:val="F6F7FB"/>
                      <w:sz w:val="26"/>
                      <w:szCs w:val="26"/>
                    </w:rPr>
                    <w:t xml:space="preserve">Method, quality, AI, measurement, training and templates</w:t>
                  </w:r>
                </w:p>
              </w:tc>
              <w:tc>
                <w:tcPr>
                  <w:tcW w:type="dxa" w:w="5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360" w:hRule="exact"/>
              </w:trPr>
              <w:tc>
                <w:tcPr>
                  <w:tcW w:type="dxa" w:w="520"/>
                  <w:tcBorders>
                    <w:top w:val="none" w:color="FFFFFF" w:sz="0"/>
                    <w:left w:val="single" w:color="FFFFFF" w:sz="20"/>
                    <w:bottom w:val="single" w:color="FFFF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83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520"/>
                  <w:tcBorders>
                    <w:top w:val="none" w:color="FFFFFF" w:sz="0"/>
                    <w:left w:val="none" w:color="FFFFFF" w:sz="0"/>
                    <w:bottom w:val="single" w:color="FFFFFF" w:sz="20"/>
                    <w:right w:val="single" w:color="FFFFFF" w:sz="20"/>
                  </w:tcBorders>
                  <w:tcMar>
                    <w:top w:type="dxa" w:w="0"/>
                    <w:left w:type="dxa" w:w="0"/>
                    <w:bottom w:type="dxa" w:w="0"/>
                    <w:right w:type="dxa" w:w="0"/>
                  </w:tcMar>
                </w:tcPr>
                <w:p>
                  <w:pPr>
                    <w:spacing w:after="0" w:line="20" w:lineRule="exact"/>
                  </w:pPr>
                  <w:r>
                    <w:rPr>
                      <w:sz w:val="2"/>
                      <w:szCs w:val="2"/>
                    </w:rPr>
                    <w:t xml:space="preserve"/>
                  </w:r>
                </w:p>
              </w:tc>
            </w:tr>
          </w:tbl>
          <w:p>
            <w:pPr>
              <w:spacing w:after="2600"/>
            </w:pPr>
            <w:r>
              <w:rPr>
                <w:rFonts w:ascii="Inter" w:cs="Inter" w:eastAsia="Inter" w:hAnsi="Inter"/>
              </w:rPr>
              <w:t xml:space="preserve"/>
            </w:r>
          </w:p>
          <w:p>
            <w:pPr>
              <w:spacing w:after="80"/>
            </w:pPr>
            <w:r>
              <w:rPr>
                <w:rFonts w:ascii="Inter" w:cs="Inter" w:eastAsia="Inter" w:hAnsi="Inter"/>
                <w:b/>
                <w:bCs/>
                <w:color w:val="3FAF8F"/>
                <w:sz w:val="20"/>
                <w:szCs w:val="20"/>
              </w:rPr>
              <w:t xml:space="preserve">Positioned to sell. Equipped to scale.</w:t>
            </w:r>
          </w:p>
          <w:p>
            <w:pPr>
              <w:spacing w:after="120"/>
            </w:pPr>
            <w:r>
              <w:rPr>
                <w:rFonts w:ascii="Inter" w:cs="Inter" w:eastAsia="Inter" w:hAnsi="Inter"/>
                <w:color w:val="B8C1D6"/>
                <w:sz w:val="16"/>
                <w:szCs w:val="16"/>
              </w:rPr>
              <w:t>Version 1.6  |  October 2026</w:t>
            </w:r>
          </w:p>
        </w:tc>
      </w:tr>
    </w:tbl>
    <w:p>
      <w:pPr>
        <w:sectPr>
          <w:headerReference w:type="default" r:id="rId9"/>
          <w:footerReference w:type="default" r:id="rId10"/>
          <w:headerReference w:type="first" r:id="rId11"/>
          <w:footerReference w:type="first" r:id="rId12"/>
          <w:headerReference w:type="even" r:id="rId13"/>
          <w:footerReference w:type="even" r:id="rId14"/>
          <w:pgSz w:w="12240" w:h="15840" w:orient="portrait"/>
          <w:pgMar w:top="0" w:right="0" w:bottom="0" w:left="0" w:header="0" w:footer="0" w:gutter="0"/>
          <w:pgNumType/>
          <w:docGrid w:linePitch="360"/>
        </w:sectPr>
      </w:pPr>
    </w:p>
    <w:p>
      <w:pPr>
        <w:keepNext/>
        <w:spacing w:after="40" w:before="360"/>
      </w:pPr>
      <w:r>
        <w:rPr>
          <w:rFonts w:ascii="Inter" w:hAnsi="Inter" w:eastAsia="Inter" w:cs="Inter"/>
          <w:b/>
          <w:bCs/>
          <w:color w:val="315BFF"/>
          <w:spacing w:val="20"/>
          <w:sz w:val="16"/>
          <w:szCs w:val="16"/>
        </w:rPr>
        <w:t xml:space="preserve">ABOUT THIS STANDARD</w:t>
      </w:r>
    </w:p>
    <w:p>
      <w:pPr>
        <w:pStyle w:val="Heading2"/>
        <w:keepNext/>
        <w:keepLines/>
        <w:widowControl/>
        <w:spacing w:before="0"/>
      </w:pPr>
      <w:r>
        <w:rPr>
          <w:rFonts w:ascii="Manrope" w:hAnsi="Manrope" w:eastAsia="Manrope" w:cs="Manrope"/>
          <w:color w:val="101828"/>
        </w:rPr>
        <w:t xml:space="preserve">How ADelier delivers and teaches</w:t>
      </w:r>
    </w:p>
    <w:p>
      <w:pPr>
        <w:spacing w:after="140"/>
      </w:pPr>
      <w:r>
        <w:rPr>
          <w:rFonts w:ascii="Inter" w:hAnsi="Inter" w:eastAsia="Inter" w:cs="Inter"/>
          <w:color w:val="101828"/>
        </w:rPr>
        <w:t xml:space="preserve">This standard defines how every engagement and every training program is run, so the brand promise is kept in the work itself. It applies to white-label delivery, direct-brand projects and training alike. Brand rules live in the Brand Book; offers, sales and pricing live in the Commercial Playbook.</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Every ADelier experience should make the commercial decision clearer, the execution stronger and the client more capable.</w:t>
            </w:r>
          </w:p>
        </w:tc>
      </w:tr>
    </w:tbl>
    <w:p>
      <w:pPr>
        <w:spacing w:after="160" w:before="0"/>
      </w:pPr>
    </w:p>
    <w:p>
      <w:pPr>
        <w:pageBreakBefore/>
        <w:spacing w:after="300"/>
      </w:pPr>
      <w:r>
        <w:rPr>
          <w:rFonts w:ascii="Manrope" w:cs="Manrope" w:eastAsia="Manrope" w:hAnsi="Manrope"/>
          <w:b/>
          <w:bCs/>
          <w:color w:val="101828"/>
          <w:sz w:val="52"/>
          <w:szCs w:val="52"/>
        </w:rPr>
        <w:t xml:space="preserve">Contents</w:t>
      </w:r>
    </w:p>
    <w:p>
      <w:pPr>
        <w:keepNext/>
        <w:spacing w:after="40" w:before="150"/>
      </w:pPr>
      <w:r>
        <w:rPr>
          <w:rFonts w:ascii="Manrope" w:cs="Manrope" w:eastAsia="Manrope" w:hAnsi="Manrope"/>
          <w:b/>
          <w:bCs/>
          <w:color w:val="315BFF"/>
          <w:sz w:val="24"/>
          <w:szCs w:val="24"/>
        </w:rPr>
        <w:t xml:space="preserve">01   </w:t>
      </w:r>
      <w:r>
        <w:rPr>
          <w:rFonts w:ascii="Manrope" w:cs="Manrope" w:eastAsia="Manrope" w:hAnsi="Manrope"/>
          <w:b/>
          <w:bCs/>
          <w:color w:val="101828"/>
          <w:sz w:val="24"/>
          <w:szCs w:val="24"/>
        </w:rPr>
        <w:t xml:space="preserve">Method</w:t>
      </w:r>
    </w:p>
    <w:p>
      <w:pPr>
        <w:spacing w:after="0" w:line="270"/>
        <w:ind w:left="560"/>
      </w:pPr>
      <w:r>
        <w:rPr>
          <w:rFonts w:ascii="Inter" w:hAnsi="Inter" w:eastAsia="Inter" w:cs="Inter"/>
          <w:color w:val="101828"/>
          <w:sz w:val="19"/>
          <w:szCs w:val="19"/>
        </w:rPr>
        <w:t xml:space="preserve">1.1 The Choice System</w:t>
      </w:r>
    </w:p>
    <w:p>
      <w:pPr>
        <w:keepNext/>
        <w:spacing w:after="40" w:before="150"/>
      </w:pPr>
      <w:r>
        <w:rPr>
          <w:rFonts w:ascii="Manrope" w:cs="Manrope" w:eastAsia="Manrope" w:hAnsi="Manrope"/>
          <w:b/>
          <w:bCs/>
          <w:color w:val="315BFF"/>
          <w:sz w:val="24"/>
          <w:szCs w:val="24"/>
        </w:rPr>
        <w:t xml:space="preserve">02   </w:t>
      </w:r>
      <w:r>
        <w:rPr>
          <w:rFonts w:ascii="Manrope" w:cs="Manrope" w:eastAsia="Manrope" w:hAnsi="Manrope"/>
          <w:b/>
          <w:bCs/>
          <w:color w:val="101828"/>
          <w:sz w:val="24"/>
          <w:szCs w:val="24"/>
        </w:rPr>
        <w:t xml:space="preserve">Delivery</w:t>
      </w:r>
    </w:p>
    <w:p>
      <w:pPr>
        <w:spacing w:after="0" w:line="270"/>
        <w:ind w:left="560"/>
      </w:pPr>
      <w:r>
        <w:rPr>
          <w:rFonts w:ascii="Inter" w:hAnsi="Inter" w:eastAsia="Inter" w:cs="Inter"/>
          <w:color w:val="101828"/>
          <w:sz w:val="19"/>
          <w:szCs w:val="19"/>
        </w:rPr>
        <w:t xml:space="preserve">2.1 Delivery operating model</w:t>
      </w:r>
    </w:p>
    <w:p>
      <w:pPr>
        <w:spacing w:after="0" w:line="270"/>
        <w:ind w:left="560"/>
      </w:pPr>
      <w:r>
        <w:rPr>
          <w:rFonts w:ascii="Inter" w:hAnsi="Inter" w:eastAsia="Inter" w:cs="Inter"/>
          <w:color w:val="101828"/>
          <w:sz w:val="19"/>
          <w:szCs w:val="19"/>
        </w:rPr>
        <w:t xml:space="preserve">2.2 Quality system</w:t>
      </w:r>
    </w:p>
    <w:p>
      <w:pPr>
        <w:spacing w:after="0" w:line="270"/>
        <w:ind w:left="560"/>
      </w:pPr>
      <w:r>
        <w:rPr>
          <w:rFonts w:ascii="Inter" w:hAnsi="Inter" w:eastAsia="Inter" w:cs="Inter"/>
          <w:color w:val="101828"/>
          <w:sz w:val="19"/>
          <w:szCs w:val="19"/>
        </w:rPr>
        <w:t xml:space="preserve">2.3 AI operating principles</w:t>
      </w:r>
    </w:p>
    <w:p>
      <w:pPr>
        <w:spacing w:after="0" w:line="270"/>
        <w:ind w:left="560"/>
      </w:pPr>
      <w:r>
        <w:rPr>
          <w:rFonts w:ascii="Inter" w:hAnsi="Inter" w:eastAsia="Inter" w:cs="Inter"/>
          <w:color w:val="101828"/>
          <w:sz w:val="19"/>
          <w:szCs w:val="19"/>
        </w:rPr>
        <w:t xml:space="preserve">2.4 Measurement system</w:t>
      </w:r>
    </w:p>
    <w:p>
      <w:pPr>
        <w:spacing w:after="0" w:line="270"/>
        <w:ind w:left="560"/>
      </w:pPr>
      <w:r>
        <w:rPr>
          <w:rFonts w:ascii="Inter" w:hAnsi="Inter" w:eastAsia="Inter" w:cs="Inter"/>
          <w:color w:val="101828"/>
          <w:sz w:val="19"/>
          <w:szCs w:val="19"/>
        </w:rPr>
        <w:t xml:space="preserve">2.5 Service recovery</w:t>
      </w:r>
    </w:p>
    <w:p>
      <w:pPr>
        <w:keepNext/>
        <w:spacing w:after="40" w:before="150"/>
      </w:pPr>
      <w:r>
        <w:rPr>
          <w:rFonts w:ascii="Manrope" w:cs="Manrope" w:eastAsia="Manrope" w:hAnsi="Manrope"/>
          <w:b/>
          <w:bCs/>
          <w:color w:val="315BFF"/>
          <w:sz w:val="24"/>
          <w:szCs w:val="24"/>
        </w:rPr>
        <w:t xml:space="preserve">03   </w:t>
      </w:r>
      <w:r>
        <w:rPr>
          <w:rFonts w:ascii="Manrope" w:cs="Manrope" w:eastAsia="Manrope" w:hAnsi="Manrope"/>
          <w:b/>
          <w:bCs/>
          <w:color w:val="101828"/>
          <w:sz w:val="24"/>
          <w:szCs w:val="24"/>
        </w:rPr>
        <w:t xml:space="preserve">Training</w:t>
      </w:r>
    </w:p>
    <w:p>
      <w:pPr>
        <w:spacing w:after="0" w:line="270"/>
        <w:ind w:left="560"/>
      </w:pPr>
      <w:r>
        <w:rPr>
          <w:rFonts w:ascii="Inter" w:hAnsi="Inter" w:eastAsia="Inter" w:cs="Inter"/>
          <w:color w:val="101828"/>
          <w:sz w:val="19"/>
          <w:szCs w:val="19"/>
        </w:rPr>
        <w:t xml:space="preserve">3.1 Applied learning model</w:t>
      </w:r>
    </w:p>
    <w:p>
      <w:pPr>
        <w:spacing w:after="0" w:line="270"/>
        <w:ind w:left="560"/>
      </w:pPr>
      <w:r>
        <w:rPr>
          <w:rFonts w:ascii="Inter" w:hAnsi="Inter" w:eastAsia="Inter" w:cs="Inter"/>
          <w:color w:val="101828"/>
          <w:sz w:val="19"/>
          <w:szCs w:val="19"/>
        </w:rPr>
        <w:t xml:space="preserve">3.2 Training portfolio</w:t>
      </w:r>
    </w:p>
    <w:p>
      <w:pPr>
        <w:spacing w:after="0" w:line="270"/>
        <w:ind w:left="560"/>
      </w:pPr>
      <w:r>
        <w:rPr>
          <w:rFonts w:ascii="Inter" w:hAnsi="Inter" w:eastAsia="Inter" w:cs="Inter"/>
          <w:color w:val="101828"/>
          <w:sz w:val="19"/>
          <w:szCs w:val="19"/>
        </w:rPr>
        <w:t xml:space="preserve">3.3 Training quality standards</w:t>
      </w:r>
    </w:p>
    <w:p>
      <w:pPr>
        <w:keepNext/>
        <w:spacing w:after="40" w:before="150"/>
      </w:pPr>
      <w:r>
        <w:rPr>
          <w:rFonts w:ascii="Manrope" w:cs="Manrope" w:eastAsia="Manrope" w:hAnsi="Manrope"/>
          <w:b/>
          <w:bCs/>
          <w:color w:val="315BFF"/>
          <w:sz w:val="24"/>
          <w:szCs w:val="24"/>
        </w:rPr>
        <w:t xml:space="preserve">04   </w:t>
      </w:r>
      <w:r>
        <w:rPr>
          <w:rFonts w:ascii="Manrope" w:cs="Manrope" w:eastAsia="Manrope" w:hAnsi="Manrope"/>
          <w:b/>
          <w:bCs/>
          <w:color w:val="101828"/>
          <w:sz w:val="24"/>
          <w:szCs w:val="24"/>
        </w:rPr>
        <w:t xml:space="preserve">Templates</w:t>
      </w:r>
    </w:p>
    <w:p>
      <w:pPr>
        <w:spacing w:after="0" w:line="270"/>
        <w:ind w:left="560"/>
      </w:pPr>
      <w:r>
        <w:rPr>
          <w:rFonts w:ascii="Inter" w:hAnsi="Inter" w:eastAsia="Inter" w:cs="Inter"/>
          <w:color w:val="101828"/>
          <w:sz w:val="19"/>
          <w:szCs w:val="19"/>
        </w:rPr>
        <w:t xml:space="preserve">Template A</w:t>
      </w:r>
    </w:p>
    <w:p>
      <w:pPr>
        <w:spacing w:after="0" w:line="270"/>
        <w:ind w:left="560"/>
      </w:pPr>
      <w:r>
        <w:rPr>
          <w:rFonts w:ascii="Inter" w:hAnsi="Inter" w:eastAsia="Inter" w:cs="Inter"/>
          <w:color w:val="101828"/>
          <w:sz w:val="19"/>
          <w:szCs w:val="19"/>
        </w:rPr>
        <w:t xml:space="preserve">Template B</w:t>
      </w:r>
    </w:p>
    <w:p>
      <w:pPr>
        <w:spacing w:after="0" w:line="270"/>
        <w:ind w:left="560"/>
      </w:pPr>
      <w:r>
        <w:rPr>
          <w:rFonts w:ascii="Inter" w:hAnsi="Inter" w:eastAsia="Inter" w:cs="Inter"/>
          <w:color w:val="101828"/>
          <w:sz w:val="19"/>
          <w:szCs w:val="19"/>
        </w:rPr>
        <w:t xml:space="preserve">Template C</w:t>
      </w:r>
    </w:p>
    <w:p>
      <w:pPr>
        <w:spacing w:after="0" w:line="270"/>
        <w:ind w:left="560"/>
      </w:pPr>
      <w:r>
        <w:rPr>
          <w:rFonts w:ascii="Inter" w:hAnsi="Inter" w:eastAsia="Inter" w:cs="Inter"/>
          <w:color w:val="101828"/>
          <w:sz w:val="19"/>
          <w:szCs w:val="19"/>
        </w:rPr>
        <w:t xml:space="preserve">Template D</w:t>
      </w:r>
    </w:p>
    <w:p>
      <w:pPr>
        <w:spacing w:after="0" w:line="270"/>
        <w:ind w:left="560"/>
      </w:pPr>
      <w:r>
        <w:rPr>
          <w:rFonts w:ascii="Inter" w:hAnsi="Inter" w:eastAsia="Inter" w:cs="Inter"/>
          <w:color w:val="101828"/>
          <w:sz w:val="19"/>
          <w:szCs w:val="19"/>
        </w:rPr>
        <w:t xml:space="preserve">Template E</w:t>
      </w:r>
    </w:p>
    <w:p>
      <w:pPr>
        <w:spacing w:after="0" w:line="270"/>
        <w:ind w:left="560"/>
      </w:pPr>
      <w:r>
        <w:rPr>
          <w:rFonts w:ascii="Inter" w:hAnsi="Inter" w:eastAsia="Inter" w:cs="Inter"/>
          <w:color w:val="101828"/>
          <w:sz w:val="19"/>
          <w:szCs w:val="19"/>
        </w:rPr>
        <w:t xml:space="preserve">Template F</w:t>
      </w: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01</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Method</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 xml:space="preserve">One repeatable commercial method for white-label work, direct-brand projects and training.</w:t>
      </w:r>
    </w:p>
    <w:p>
      <w:pPr>
        <w:keepNext/>
        <w:spacing w:after="40" w:before="360"/>
      </w:pPr>
      <w:r>
        <w:rPr>
          <w:rFonts w:ascii="Inter" w:hAnsi="Inter" w:eastAsia="Inter" w:cs="Inter"/>
          <w:b/>
          <w:bCs/>
          <w:color w:val="315BFF"/>
          <w:spacing w:val="20"/>
          <w:sz w:val="16"/>
          <w:szCs w:val="16"/>
        </w:rPr>
        <w:t xml:space="preserve">1.1 THE CHOICE SYSTEM</w:t>
      </w:r>
    </w:p>
    <w:p>
      <w:pPr>
        <w:pStyle w:val="Heading2"/>
        <w:keepNext/>
        <w:keepLines/>
        <w:widowControl/>
        <w:spacing w:before="0"/>
      </w:pPr>
      <w:r>
        <w:rPr>
          <w:rFonts w:ascii="Manrope" w:hAnsi="Manrope" w:eastAsia="Manrope" w:cs="Manrope"/>
          <w:color w:val="101828"/>
        </w:rPr>
        <w:t xml:space="preserve">Six stages, used everywhere</w:t>
      </w:r>
    </w:p>
    <w:p>
      <w:pPr>
        <w:spacing w:after="140"/>
      </w:pPr>
      <w:r>
        <w:rPr>
          <w:rFonts w:ascii="Inter" w:hAnsi="Inter" w:eastAsia="Inter" w:cs="Inter"/>
          <w:color w:val="101828"/>
        </w:rPr>
        <w:t xml:space="preserve">Every service fits inside one method. The six stage names are fixed and are used on the website, in proposals, in training and in this standard. Version 1.0 occasionally used "Operate" in place of "Validate"; that variant is retired.</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562"/>
        <w:gridCol w:w="1310"/>
        <w:gridCol w:w="3182"/>
        <w:gridCol w:w="4306"/>
      </w:tblGrid>
      <w:tr>
        <w:trPr>
          <w:cantSplit/>
          <w:tblHeader w:val="true"/>
        </w:trPr>
        <w:tc>
          <w:tcPr>
            <w:tcW w:type="dxa" w:w="56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t>
            </w:r>
          </w:p>
        </w:tc>
        <w:tc>
          <w:tcPr>
            <w:tcW w:type="dxa" w:w="131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Stage</w:t>
            </w:r>
          </w:p>
        </w:tc>
        <w:tc>
          <w:tcPr>
            <w:tcW w:type="dxa" w:w="318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Key question</w:t>
            </w:r>
          </w:p>
        </w:tc>
        <w:tc>
          <w:tcPr>
            <w:tcW w:type="dxa" w:w="430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Typical outputs</w:t>
            </w:r>
          </w:p>
        </w:tc>
      </w:tr>
      <w:tr>
        <w:trPr>
          <w:cantSplit/>
          <w:tblHeader w:val="false"/>
        </w:trPr>
        <w:tc>
          <w:tcPr>
            <w:tcW w:type="dxa" w:w="56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01</w:t>
            </w:r>
          </w:p>
        </w:tc>
        <w:tc>
          <w:tcPr>
            <w:tcW w:type="dxa" w:w="131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Diagnose</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Where is marketplace value leaking?</w:t>
            </w:r>
          </w:p>
        </w:tc>
        <w:tc>
          <w:tcPr>
            <w:tcW w:type="dxa" w:w="430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Fact base, benchmark, customer language, problem statement and prioritized opportunity</w:t>
            </w:r>
          </w:p>
        </w:tc>
      </w:tr>
      <w:tr>
        <w:trPr>
          <w:cantSplit/>
          <w:tblHeader w:val="false"/>
        </w:trPr>
        <w:tc>
          <w:tcPr>
            <w:tcW w:type="dxa" w:w="56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02</w:t>
            </w:r>
          </w:p>
        </w:tc>
        <w:tc>
          <w:tcPr>
            <w:tcW w:type="dxa" w:w="131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Position</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should be the clearest reason to choose?</w:t>
            </w:r>
          </w:p>
        </w:tc>
        <w:tc>
          <w:tcPr>
            <w:tcW w:type="dxa" w:w="430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Target shopper, differentiation, reasons-to-buy hierarchy, claims and objections</w:t>
            </w:r>
          </w:p>
        </w:tc>
      </w:tr>
      <w:tr>
        <w:trPr>
          <w:cantSplit/>
          <w:tblHeader w:val="false"/>
        </w:trPr>
        <w:tc>
          <w:tcPr>
            <w:tcW w:type="dxa" w:w="56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03</w:t>
            </w:r>
          </w:p>
        </w:tc>
        <w:tc>
          <w:tcPr>
            <w:tcW w:type="dxa" w:w="131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Build</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How should the marketplace experience communicate it?</w:t>
            </w:r>
          </w:p>
        </w:tc>
        <w:tc>
          <w:tcPr>
            <w:tcW w:type="dxa" w:w="430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Listing, image sequence, A+ direction, creative brief, workflow or training asset</w:t>
            </w:r>
          </w:p>
        </w:tc>
      </w:tr>
      <w:tr>
        <w:trPr>
          <w:cantSplit/>
          <w:tblHeader w:val="false"/>
        </w:trPr>
        <w:tc>
          <w:tcPr>
            <w:tcW w:type="dxa" w:w="56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04</w:t>
            </w:r>
          </w:p>
        </w:tc>
        <w:tc>
          <w:tcPr>
            <w:tcW w:type="dxa" w:w="131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Validate</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changed and what should improve next?</w:t>
            </w:r>
          </w:p>
        </w:tc>
        <w:tc>
          <w:tcPr>
            <w:tcW w:type="dxa" w:w="430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Baseline, KPI review, quality score, test result and updated backlog</w:t>
            </w:r>
          </w:p>
        </w:tc>
      </w:tr>
      <w:tr>
        <w:trPr>
          <w:cantSplit/>
          <w:tblHeader w:val="false"/>
        </w:trPr>
        <w:tc>
          <w:tcPr>
            <w:tcW w:type="dxa" w:w="56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05</w:t>
            </w:r>
          </w:p>
        </w:tc>
        <w:tc>
          <w:tcPr>
            <w:tcW w:type="dxa" w:w="131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Enable</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must the client be able to repeat?</w:t>
            </w:r>
          </w:p>
        </w:tc>
        <w:tc>
          <w:tcPr>
            <w:tcW w:type="dxa" w:w="430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Playbook, templates, live practice, role ownership and quality review</w:t>
            </w:r>
          </w:p>
        </w:tc>
      </w:tr>
      <w:tr>
        <w:trPr>
          <w:cantSplit/>
          <w:tblHeader w:val="false"/>
        </w:trPr>
        <w:tc>
          <w:tcPr>
            <w:tcW w:type="dxa" w:w="56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06</w:t>
            </w:r>
          </w:p>
        </w:tc>
        <w:tc>
          <w:tcPr>
            <w:tcW w:type="dxa" w:w="131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Scale</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How does the model extend across the portfolio or channel?</w:t>
            </w:r>
          </w:p>
        </w:tc>
        <w:tc>
          <w:tcPr>
            <w:tcW w:type="dxa" w:w="430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Rollout priorities, governance, standards, capacity plan and ongoing cadence</w:t>
            </w:r>
          </w:p>
        </w:tc>
      </w:tr>
    </w:tbl>
    <w:p>
      <w:pPr>
        <w:spacing w:after="16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Minimum standard: no engagement begins with production alone. Even the smallest task requires a short diagnostic and explicit quality criteria.</w:t>
            </w:r>
          </w:p>
        </w:tc>
      </w:tr>
    </w:tbl>
    <w:p>
      <w:pPr>
        <w:spacing w:after="160" w:before="0"/>
      </w:pPr>
    </w:p>
    <w:p>
      <w:pPr>
        <w:pStyle w:val="Heading3"/>
        <w:keepNext/>
        <w:keepLines/>
        <w:widowControl/>
      </w:pPr>
      <w:r>
        <w:rPr>
          <w:rFonts w:ascii="Inter" w:hAnsi="Inter" w:eastAsia="Inter" w:cs="Inter"/>
          <w:color w:val="315BFF"/>
        </w:rPr>
        <w:t xml:space="preserve">One-line version for external use</w:t>
      </w:r>
    </w:p>
    <w:p>
      <w:pPr>
        <w:spacing w:after="140"/>
      </w:pPr>
      <w:r>
        <w:rPr>
          <w:rFonts w:ascii="Inter" w:hAnsi="Inter" w:eastAsia="Inter" w:cs="Inter"/>
          <w:color w:val="101828"/>
        </w:rPr>
        <w:t xml:space="preserve">Diagnose the hesitation. Position the choice. Build the experience. Validate the effect. Enable the team. Scale the system.</w:t>
      </w: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02</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Delivery</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 xml:space="preserve">Roles, cadence, quality gates, AI principles, measurement and service recovery.</w:t>
      </w:r>
    </w:p>
    <w:p>
      <w:pPr>
        <w:keepNext/>
        <w:spacing w:after="40" w:before="360"/>
      </w:pPr>
      <w:r>
        <w:rPr>
          <w:rFonts w:ascii="Inter" w:hAnsi="Inter" w:eastAsia="Inter" w:cs="Inter"/>
          <w:b/>
          <w:bCs/>
          <w:color w:val="315BFF"/>
          <w:spacing w:val="20"/>
          <w:sz w:val="16"/>
          <w:szCs w:val="16"/>
        </w:rPr>
        <w:t xml:space="preserve">2.1 DELIVERY OPERATING MODEL</w:t>
      </w:r>
    </w:p>
    <w:p>
      <w:pPr>
        <w:pStyle w:val="Heading2"/>
        <w:keepNext/>
        <w:keepLines/>
        <w:widowControl/>
        <w:spacing w:before="0"/>
      </w:pPr>
      <w:r>
        <w:rPr>
          <w:rFonts w:ascii="Manrope" w:hAnsi="Manrope" w:eastAsia="Manrope" w:cs="Manrope"/>
          <w:color w:val="101828"/>
        </w:rPr>
        <w:t xml:space="preserve">Define ownership before production begins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434"/>
        <w:gridCol w:w="6926"/>
      </w:tblGrid>
      <w:tr>
        <w:trPr>
          <w:cantSplit/>
          <w:tblHeader w:val="true"/>
        </w:trPr>
        <w:tc>
          <w:tcPr>
            <w:tcW w:type="dxa" w:w="243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Role</w:t>
            </w:r>
          </w:p>
        </w:tc>
        <w:tc>
          <w:tcPr>
            <w:tcW w:type="dxa" w:w="692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Accountability</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Engagement lead</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Client relationship, commercial outcome, major recommendations and escalation</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Marketplace strategist</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Diagnosis, positioning, shopper logic and measurement hypothesis</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Content or creative lead</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Converts positioning into listing, image sequence, A+ direction and quality standards</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Delivery specialist</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Produces assets, analysis or workflow components to the agreed brief</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Learning lead</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Designs outcomes, exercises, facilitation, assessment and capability transfer</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Quality reviewer</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Checks claims, logic, brand, platform fit, completeness and release readiness</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Client owner</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Supplies inputs, coordinates decisions and accepts the output</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Client subject expert</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Verifies product facts, claims, operations and category context</w:t>
            </w:r>
          </w:p>
        </w:tc>
      </w:tr>
    </w:tbl>
    <w:p>
      <w:pPr>
        <w:spacing w:after="160" w:before="0"/>
      </w:pPr>
    </w:p>
    <w:p>
      <w:pPr>
        <w:spacing w:after="140"/>
      </w:pPr>
      <w:r>
        <w:rPr>
          <w:rFonts w:ascii="Inter" w:hAnsi="Inter" w:eastAsia="Inter" w:cs="Inter"/>
          <w:color w:val="101828"/>
        </w:rPr>
        <w:t xml:space="preserve">One person may hold several roles in a small engagement, but the accountabilities must remain explicit.</w:t>
      </w:r>
    </w:p>
    <w:p>
      <w:pPr>
        <w:pStyle w:val="Heading3"/>
        <w:keepNext/>
        <w:keepLines/>
        <w:widowControl/>
      </w:pPr>
      <w:r>
        <w:rPr>
          <w:rFonts w:ascii="Inter" w:hAnsi="Inter" w:eastAsia="Inter" w:cs="Inter"/>
          <w:color w:val="315BFF"/>
        </w:rPr>
        <w:t xml:space="preserve">Standard cadence</w:t>
      </w:r>
    </w:p>
    <w:p>
      <w:pPr>
        <w:pStyle w:val="ListParagraph"/>
        <w:numPr>
          <w:ilvl w:val="0"/>
          <w:numId w:val="2"/>
        </w:numPr>
        <w:spacing w:after="60"/>
      </w:pPr>
      <w:r>
        <w:rPr>
          <w:rFonts w:ascii="Inter" w:hAnsi="Inter" w:eastAsia="Inter" w:cs="Inter"/>
          <w:b/>
          <w:bCs/>
          <w:color w:val="101828"/>
        </w:rPr>
        <w:t xml:space="preserve">Kickoff.</w:t>
      </w:r>
      <w:r>
        <w:rPr>
          <w:rFonts w:ascii="Inter" w:hAnsi="Inter" w:eastAsia="Inter" w:cs="Inter"/>
          <w:color w:val="101828"/>
        </w:rPr>
        <w:t xml:space="preserve"> Outcome, scope, owners, inputs, decisions, risks and timeline.</w:t>
      </w:r>
    </w:p>
    <w:p>
      <w:pPr>
        <w:pStyle w:val="ListParagraph"/>
        <w:numPr>
          <w:ilvl w:val="0"/>
          <w:numId w:val="2"/>
        </w:numPr>
        <w:spacing w:after="60"/>
      </w:pPr>
      <w:r>
        <w:rPr>
          <w:rFonts w:ascii="Inter" w:hAnsi="Inter" w:eastAsia="Inter" w:cs="Inter"/>
          <w:b/>
          <w:bCs/>
          <w:color w:val="101828"/>
        </w:rPr>
        <w:t xml:space="preserve">Working review.</w:t>
      </w:r>
      <w:r>
        <w:rPr>
          <w:rFonts w:ascii="Inter" w:hAnsi="Inter" w:eastAsia="Inter" w:cs="Inter"/>
          <w:color w:val="101828"/>
        </w:rPr>
        <w:t xml:space="preserve"> Evidence and direction before full production.</w:t>
      </w:r>
    </w:p>
    <w:p>
      <w:pPr>
        <w:pStyle w:val="ListParagraph"/>
        <w:numPr>
          <w:ilvl w:val="0"/>
          <w:numId w:val="2"/>
        </w:numPr>
        <w:spacing w:after="60"/>
      </w:pPr>
      <w:r>
        <w:rPr>
          <w:rFonts w:ascii="Inter" w:hAnsi="Inter" w:eastAsia="Inter" w:cs="Inter"/>
          <w:b/>
          <w:bCs/>
          <w:color w:val="101828"/>
        </w:rPr>
        <w:t xml:space="preserve">Quality gate.</w:t>
      </w:r>
      <w:r>
        <w:rPr>
          <w:rFonts w:ascii="Inter" w:hAnsi="Inter" w:eastAsia="Inter" w:cs="Inter"/>
          <w:color w:val="101828"/>
        </w:rPr>
        <w:t xml:space="preserve"> Internal ADelier review before client presentation.</w:t>
      </w:r>
    </w:p>
    <w:p>
      <w:pPr>
        <w:pStyle w:val="ListParagraph"/>
        <w:numPr>
          <w:ilvl w:val="0"/>
          <w:numId w:val="2"/>
        </w:numPr>
        <w:spacing w:after="60"/>
      </w:pPr>
      <w:r>
        <w:rPr>
          <w:rFonts w:ascii="Inter" w:hAnsi="Inter" w:eastAsia="Inter" w:cs="Inter"/>
          <w:b/>
          <w:bCs/>
          <w:color w:val="101828"/>
        </w:rPr>
        <w:t xml:space="preserve">Client review.</w:t>
      </w:r>
      <w:r>
        <w:rPr>
          <w:rFonts w:ascii="Inter" w:hAnsi="Inter" w:eastAsia="Inter" w:cs="Inter"/>
          <w:color w:val="101828"/>
        </w:rPr>
        <w:t xml:space="preserve"> Decisions and consolidated feedback, not live line editing without context.</w:t>
      </w:r>
    </w:p>
    <w:p>
      <w:pPr>
        <w:pStyle w:val="ListParagraph"/>
        <w:numPr>
          <w:ilvl w:val="0"/>
          <w:numId w:val="2"/>
        </w:numPr>
        <w:spacing w:after="60"/>
      </w:pPr>
      <w:r>
        <w:rPr>
          <w:rFonts w:ascii="Inter" w:hAnsi="Inter" w:eastAsia="Inter" w:cs="Inter"/>
          <w:b/>
          <w:bCs/>
          <w:color w:val="101828"/>
        </w:rPr>
        <w:t xml:space="preserve">Implementation check.</w:t>
      </w:r>
      <w:r>
        <w:rPr>
          <w:rFonts w:ascii="Inter" w:hAnsi="Inter" w:eastAsia="Inter" w:cs="Inter"/>
          <w:color w:val="101828"/>
        </w:rPr>
        <w:t xml:space="preserve"> Confirm launch readiness, ownership and dependencies.</w:t>
      </w:r>
    </w:p>
    <w:p>
      <w:pPr>
        <w:pStyle w:val="ListParagraph"/>
        <w:numPr>
          <w:ilvl w:val="0"/>
          <w:numId w:val="2"/>
        </w:numPr>
        <w:spacing w:after="60"/>
      </w:pPr>
      <w:r>
        <w:rPr>
          <w:rFonts w:ascii="Inter" w:hAnsi="Inter" w:eastAsia="Inter" w:cs="Inter"/>
          <w:b/>
          <w:bCs/>
          <w:color w:val="101828"/>
        </w:rPr>
        <w:t xml:space="preserve">Results review.</w:t>
      </w:r>
      <w:r>
        <w:rPr>
          <w:rFonts w:ascii="Inter" w:hAnsi="Inter" w:eastAsia="Inter" w:cs="Inter"/>
          <w:color w:val="101828"/>
        </w:rPr>
        <w:t xml:space="preserve"> Compare performance or capability against baseline.</w:t>
      </w:r>
    </w:p>
    <w:p>
      <w:pPr>
        <w:pStyle w:val="ListParagraph"/>
        <w:numPr>
          <w:ilvl w:val="0"/>
          <w:numId w:val="2"/>
        </w:numPr>
        <w:spacing w:after="60"/>
      </w:pPr>
      <w:r>
        <w:rPr>
          <w:rFonts w:ascii="Inter" w:hAnsi="Inter" w:eastAsia="Inter" w:cs="Inter"/>
          <w:b/>
          <w:bCs/>
          <w:color w:val="101828"/>
        </w:rPr>
        <w:t xml:space="preserve">Handoff or next cycle.</w:t>
      </w:r>
      <w:r>
        <w:rPr>
          <w:rFonts w:ascii="Inter" w:hAnsi="Inter" w:eastAsia="Inter" w:cs="Inter"/>
          <w:color w:val="101828"/>
        </w:rPr>
        <w:t xml:space="preserve"> Transfer ownership, continue managed support or scale.</w:t>
      </w:r>
    </w:p>
    <w:p>
      <w:pPr>
        <w:spacing w:after="80" w:before="0"/>
      </w:pPr>
    </w:p>
    <w:p>
      <w:pPr>
        <w:pStyle w:val="Heading3"/>
        <w:keepNext/>
        <w:keepLines/>
        <w:widowControl/>
      </w:pPr>
      <w:r>
        <w:rPr>
          <w:rFonts w:ascii="Inter" w:hAnsi="Inter" w:eastAsia="Inter" w:cs="Inter"/>
          <w:color w:val="315BFF"/>
        </w:rPr>
        <w:t xml:space="preserve">Decision log</w:t>
      </w:r>
    </w:p>
    <w:p>
      <w:pPr>
        <w:spacing w:after="140"/>
      </w:pPr>
      <w:r>
        <w:rPr>
          <w:rFonts w:ascii="Inter" w:hAnsi="Inter" w:eastAsia="Inter" w:cs="Inter"/>
          <w:color w:val="101828"/>
        </w:rPr>
        <w:t xml:space="preserve">Every material engagement keeps a simple decision log. It protects continuity when stakeholders change and creates better training material.</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310"/>
        <w:gridCol w:w="2434"/>
        <w:gridCol w:w="1498"/>
        <w:gridCol w:w="2059"/>
        <w:gridCol w:w="2059"/>
      </w:tblGrid>
      <w:tr>
        <w:trPr>
          <w:cantSplit/>
          <w:tblHeader w:val="true"/>
        </w:trPr>
        <w:tc>
          <w:tcPr>
            <w:tcW w:type="dxa" w:w="131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Date</w:t>
            </w:r>
          </w:p>
        </w:tc>
        <w:tc>
          <w:tcPr>
            <w:tcW w:type="dxa" w:w="243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Decision</w:t>
            </w:r>
          </w:p>
        </w:tc>
        <w:tc>
          <w:tcPr>
            <w:tcW w:type="dxa" w:w="149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Owner</w:t>
            </w:r>
          </w:p>
        </w:tc>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Evidence or rationale</w:t>
            </w:r>
          </w:p>
        </w:tc>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Impact</w:t>
            </w:r>
          </w:p>
        </w:tc>
      </w:tr>
      <w:tr>
        <w:trPr>
          <w:cantSplit/>
          <w:tblHeader w:val="false"/>
        </w:trPr>
        <w:tc>
          <w:tcPr>
            <w:tcW w:type="dxa" w:w="1310"/>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YYYY-MM-DD</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was chosen or rejected</w:t>
            </w:r>
          </w:p>
        </w:tc>
        <w:tc>
          <w:tcPr>
            <w:tcW w:type="dxa" w:w="149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Named person</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Data, customer insight, constraint or trade-off</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changes in scope, asset or timing</w:t>
            </w:r>
          </w:p>
        </w:tc>
      </w:tr>
    </w:tbl>
    <w:p>
      <w:pPr>
        <w:spacing w:after="160" w:before="0"/>
      </w:pPr>
    </w:p>
    <w:p>
      <w:pPr>
        <w:keepNext/>
        <w:spacing w:after="40" w:before="360"/>
      </w:pPr>
      <w:r>
        <w:rPr>
          <w:rFonts w:ascii="Inter" w:hAnsi="Inter" w:eastAsia="Inter" w:cs="Inter"/>
          <w:b/>
          <w:bCs/>
          <w:color w:val="315BFF"/>
          <w:spacing w:val="20"/>
          <w:sz w:val="16"/>
          <w:szCs w:val="16"/>
        </w:rPr>
        <w:t xml:space="preserve">2.2 QUALITY SYSTEM</w:t>
      </w:r>
    </w:p>
    <w:p>
      <w:pPr>
        <w:pStyle w:val="Heading2"/>
        <w:keepNext/>
        <w:keepLines/>
        <w:widowControl/>
        <w:spacing w:before="0"/>
      </w:pPr>
      <w:r>
        <w:rPr>
          <w:rFonts w:ascii="Manrope" w:hAnsi="Manrope" w:eastAsia="Manrope" w:cs="Manrope"/>
          <w:color w:val="101828"/>
        </w:rPr>
        <w:t xml:space="preserve">Quality is a controlled process, not a final spellcheck</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872"/>
        <w:gridCol w:w="3931"/>
        <w:gridCol w:w="3557"/>
      </w:tblGrid>
      <w:tr>
        <w:trPr>
          <w:cantSplit/>
          <w:tblHeader w:val="true"/>
        </w:trPr>
        <w:tc>
          <w:tcPr>
            <w:tcW w:type="dxa" w:w="187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Gate</w:t>
            </w:r>
          </w:p>
        </w:tc>
        <w:tc>
          <w:tcPr>
            <w:tcW w:type="dxa" w:w="393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Question</w:t>
            </w:r>
          </w:p>
        </w:tc>
        <w:tc>
          <w:tcPr>
            <w:tcW w:type="dxa" w:w="355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Release condition</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Brief quality</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Do we understand the product, audience, objective, evidence and constraints?</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Required inputs complete or assumptions explicitly accepted</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Strategic quality</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Is the reason to choose clear, relevant, differentiated and supportable?</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Expert strategist approves the position and message hierarchy</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Content quality</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Does the asset answer shopper questions in the right order and voice?</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Content lead approves structure, clarity and completeness</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Claim and factual quality</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Are statements accurate, evidenced and appropriately qualified?</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Client subject expert and ADelier reviewer sign off</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Platform quality</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Does the output fit current marketplace requirements and format?</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Specialist confirms specifications and flags any uncertainty</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Visual quality</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Is hierarchy clear, readable and commercially useful?</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Creative reviewer approves at intended size and context</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Implementation quality</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Are owners, source files, metadata, naming and launch instructions complete?</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Delivery checklist complete</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Learning quality</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Can participants apply the method and meet the standard?</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Applied output or assessment reviewed; follow-through assigned</w:t>
            </w:r>
          </w:p>
        </w:tc>
      </w:tr>
    </w:tbl>
    <w:p>
      <w:pPr>
        <w:spacing w:after="160" w:before="0"/>
      </w:pPr>
    </w:p>
    <w:p>
      <w:pPr>
        <w:pStyle w:val="Heading3"/>
        <w:keepNext/>
        <w:keepLines/>
        <w:widowControl/>
      </w:pPr>
      <w:r>
        <w:rPr>
          <w:rFonts w:ascii="Inter" w:hAnsi="Inter" w:eastAsia="Inter" w:cs="Inter"/>
          <w:color w:val="315BFF"/>
        </w:rPr>
        <w:t xml:space="preserve">Definition of done</w:t>
      </w:r>
    </w:p>
    <w:p>
      <w:pPr>
        <w:spacing w:after="140"/>
      </w:pPr>
      <w:r>
        <w:rPr>
          <w:rFonts w:ascii="Inter" w:hAnsi="Inter" w:eastAsia="Inter" w:cs="Inter"/>
          <w:color w:val="101828"/>
        </w:rPr>
        <w:t xml:space="preserve">A deliverable is not done because a file exists. It is done when the agreed decision is reflected, factual and claim review is complete, the correct owner has approved it, the output is usable in its real environment, source files and instructions are organized, open risks and assumptions are documented, and measurement or follow-through is assigned.</w:t>
      </w:r>
    </w:p>
    <w:p>
      <w:pPr>
        <w:pStyle w:val="Heading3"/>
        <w:keepNext/>
        <w:keepLines/>
        <w:widowControl/>
      </w:pPr>
      <w:r>
        <w:rPr>
          <w:rFonts w:ascii="Inter" w:hAnsi="Inter" w:eastAsia="Inter" w:cs="Inter"/>
          <w:color w:val="315BFF"/>
        </w:rPr>
        <w:t xml:space="preserve">Revision discipline</w:t>
      </w:r>
    </w:p>
    <w:p>
      <w:pPr>
        <w:spacing w:after="140"/>
      </w:pPr>
      <w:r>
        <w:rPr>
          <w:rFonts w:ascii="Inter" w:hAnsi="Inter" w:eastAsia="Inter" w:cs="Inter"/>
          <w:color w:val="101828"/>
        </w:rPr>
        <w:t xml:space="preserve">Client feedback should be consolidated by the decision owner, tied to the objective or a known constraint, separated into required corrections, preferences and new scope, provided within the agreed review window, and resolved with a clear final decision rather than endless parallel versions.</w:t>
      </w:r>
    </w:p>
    <w:p>
      <w:pPr>
        <w:keepNext/>
        <w:spacing w:after="40" w:before="360"/>
      </w:pPr>
      <w:r>
        <w:rPr>
          <w:rFonts w:ascii="Inter" w:hAnsi="Inter" w:eastAsia="Inter" w:cs="Inter"/>
          <w:b/>
          <w:bCs/>
          <w:color w:val="315BFF"/>
          <w:spacing w:val="20"/>
          <w:sz w:val="16"/>
          <w:szCs w:val="16"/>
        </w:rPr>
        <w:t xml:space="preserve">2.3 AI OPERATING PRINCIPLES</w:t>
      </w:r>
    </w:p>
    <w:p>
      <w:pPr>
        <w:pStyle w:val="Heading2"/>
        <w:keepNext/>
        <w:keepLines/>
        <w:widowControl/>
        <w:spacing w:before="0"/>
      </w:pPr>
      <w:r>
        <w:rPr>
          <w:rFonts w:ascii="Manrope" w:hAnsi="Manrope" w:eastAsia="Manrope" w:cs="Manrope"/>
          <w:color w:val="101828"/>
        </w:rPr>
        <w:t xml:space="preserve">Accelerate the workflow without outsourcing accountability</w:t>
      </w:r>
    </w:p>
    <w:p>
      <w:pPr>
        <w:pStyle w:val="ListParagraph"/>
        <w:numPr>
          <w:ilvl w:val="0"/>
          <w:numId w:val="3"/>
        </w:numPr>
        <w:spacing w:after="60"/>
      </w:pPr>
      <w:r>
        <w:rPr>
          <w:rFonts w:ascii="Inter" w:hAnsi="Inter" w:eastAsia="Inter" w:cs="Inter"/>
          <w:b/>
          <w:bCs/>
          <w:color w:val="101828"/>
        </w:rPr>
        <w:t xml:space="preserve">Purpose before tool.</w:t>
      </w:r>
      <w:r>
        <w:rPr>
          <w:rFonts w:ascii="Inter" w:hAnsi="Inter" w:eastAsia="Inter" w:cs="Inter"/>
          <w:color w:val="101828"/>
        </w:rPr>
        <w:t xml:space="preserve"> Define the business decision and quality standard before choosing an AI capability.</w:t>
      </w:r>
    </w:p>
    <w:p>
      <w:pPr>
        <w:pStyle w:val="ListParagraph"/>
        <w:numPr>
          <w:ilvl w:val="0"/>
          <w:numId w:val="3"/>
        </w:numPr>
        <w:spacing w:after="60"/>
      </w:pPr>
      <w:r>
        <w:rPr>
          <w:rFonts w:ascii="Inter" w:hAnsi="Inter" w:eastAsia="Inter" w:cs="Inter"/>
          <w:b/>
          <w:bCs/>
          <w:color w:val="101828"/>
        </w:rPr>
        <w:t xml:space="preserve">Data permission.</w:t>
      </w:r>
      <w:r>
        <w:rPr>
          <w:rFonts w:ascii="Inter" w:hAnsi="Inter" w:eastAsia="Inter" w:cs="Inter"/>
          <w:color w:val="101828"/>
        </w:rPr>
        <w:t xml:space="preserve"> Use only tools and data handling approved for the client and engagement.</w:t>
      </w:r>
    </w:p>
    <w:p>
      <w:pPr>
        <w:pStyle w:val="ListParagraph"/>
        <w:numPr>
          <w:ilvl w:val="0"/>
          <w:numId w:val="3"/>
        </w:numPr>
        <w:spacing w:after="60"/>
      </w:pPr>
      <w:r>
        <w:rPr>
          <w:rFonts w:ascii="Inter" w:hAnsi="Inter" w:eastAsia="Inter" w:cs="Inter"/>
          <w:b/>
          <w:bCs/>
          <w:color w:val="101828"/>
        </w:rPr>
        <w:t xml:space="preserve">Minimum necessary data.</w:t>
      </w:r>
      <w:r>
        <w:rPr>
          <w:rFonts w:ascii="Inter" w:hAnsi="Inter" w:eastAsia="Inter" w:cs="Inter"/>
          <w:color w:val="101828"/>
        </w:rPr>
        <w:t xml:space="preserve"> Do not input confidential information when a less sensitive version can complete the task.</w:t>
      </w:r>
    </w:p>
    <w:p>
      <w:pPr>
        <w:pStyle w:val="ListParagraph"/>
        <w:numPr>
          <w:ilvl w:val="0"/>
          <w:numId w:val="3"/>
        </w:numPr>
        <w:spacing w:after="60"/>
      </w:pPr>
      <w:r>
        <w:rPr>
          <w:rFonts w:ascii="Inter" w:hAnsi="Inter" w:eastAsia="Inter" w:cs="Inter"/>
          <w:b/>
          <w:bCs/>
          <w:color w:val="101828"/>
        </w:rPr>
        <w:t xml:space="preserve">Source awareness.</w:t>
      </w:r>
      <w:r>
        <w:rPr>
          <w:rFonts w:ascii="Inter" w:hAnsi="Inter" w:eastAsia="Inter" w:cs="Inter"/>
          <w:color w:val="101828"/>
        </w:rPr>
        <w:t xml:space="preserve"> Preserve the origin of facts, claims and customer language needed for verification.</w:t>
      </w:r>
    </w:p>
    <w:p>
      <w:pPr>
        <w:pStyle w:val="ListParagraph"/>
        <w:numPr>
          <w:ilvl w:val="0"/>
          <w:numId w:val="3"/>
        </w:numPr>
        <w:spacing w:after="60"/>
      </w:pPr>
      <w:r>
        <w:rPr>
          <w:rFonts w:ascii="Inter" w:hAnsi="Inter" w:eastAsia="Inter" w:cs="Inter"/>
          <w:b/>
          <w:bCs/>
          <w:color w:val="101828"/>
        </w:rPr>
        <w:t xml:space="preserve">Human decision rights.</w:t>
      </w:r>
      <w:r>
        <w:rPr>
          <w:rFonts w:ascii="Inter" w:hAnsi="Inter" w:eastAsia="Inter" w:cs="Inter"/>
          <w:color w:val="101828"/>
        </w:rPr>
        <w:t xml:space="preserve"> Identify where a person must interpret, approve or handle an exception.</w:t>
      </w:r>
    </w:p>
    <w:p>
      <w:pPr>
        <w:pStyle w:val="ListParagraph"/>
        <w:numPr>
          <w:ilvl w:val="0"/>
          <w:numId w:val="3"/>
        </w:numPr>
        <w:spacing w:after="60"/>
      </w:pPr>
      <w:r>
        <w:rPr>
          <w:rFonts w:ascii="Inter" w:hAnsi="Inter" w:eastAsia="Inter" w:cs="Inter"/>
          <w:b/>
          <w:bCs/>
          <w:color w:val="101828"/>
        </w:rPr>
        <w:t xml:space="preserve">Quality evaluation.</w:t>
      </w:r>
      <w:r>
        <w:rPr>
          <w:rFonts w:ascii="Inter" w:hAnsi="Inter" w:eastAsia="Inter" w:cs="Inter"/>
          <w:color w:val="101828"/>
        </w:rPr>
        <w:t xml:space="preserve"> Judge output against a rubric, not fluency or speed alone.</w:t>
      </w:r>
    </w:p>
    <w:p>
      <w:pPr>
        <w:pStyle w:val="ListParagraph"/>
        <w:numPr>
          <w:ilvl w:val="0"/>
          <w:numId w:val="3"/>
        </w:numPr>
        <w:spacing w:after="60"/>
      </w:pPr>
      <w:r>
        <w:rPr>
          <w:rFonts w:ascii="Inter" w:hAnsi="Inter" w:eastAsia="Inter" w:cs="Inter"/>
          <w:b/>
          <w:bCs/>
          <w:color w:val="101828"/>
        </w:rPr>
        <w:t xml:space="preserve">Version control.</w:t>
      </w:r>
      <w:r>
        <w:rPr>
          <w:rFonts w:ascii="Inter" w:hAnsi="Inter" w:eastAsia="Inter" w:cs="Inter"/>
          <w:color w:val="101828"/>
        </w:rPr>
        <w:t xml:space="preserve"> Record material prompts, source sets or workflow changes when reproducibility matters.</w:t>
      </w:r>
    </w:p>
    <w:p>
      <w:pPr>
        <w:pStyle w:val="ListParagraph"/>
        <w:numPr>
          <w:ilvl w:val="0"/>
          <w:numId w:val="3"/>
        </w:numPr>
        <w:spacing w:after="60"/>
      </w:pPr>
      <w:r>
        <w:rPr>
          <w:rFonts w:ascii="Inter" w:hAnsi="Inter" w:eastAsia="Inter" w:cs="Inter"/>
          <w:b/>
          <w:bCs/>
          <w:color w:val="101828"/>
        </w:rPr>
        <w:t xml:space="preserve">Disclosure by agreement.</w:t>
      </w:r>
      <w:r>
        <w:rPr>
          <w:rFonts w:ascii="Inter" w:hAnsi="Inter" w:eastAsia="Inter" w:cs="Inter"/>
          <w:color w:val="101828"/>
        </w:rPr>
        <w:t xml:space="preserve"> Explain AI's role when required by the client, law, platform or nature of the work.</w:t>
      </w:r>
    </w:p>
    <w:p>
      <w:pPr>
        <w:pStyle w:val="ListParagraph"/>
        <w:numPr>
          <w:ilvl w:val="0"/>
          <w:numId w:val="3"/>
        </w:numPr>
        <w:spacing w:after="60"/>
      </w:pPr>
      <w:r>
        <w:rPr>
          <w:rFonts w:ascii="Inter" w:hAnsi="Inter" w:eastAsia="Inter" w:cs="Inter"/>
          <w:b/>
          <w:bCs/>
          <w:color w:val="101828"/>
        </w:rPr>
        <w:t xml:space="preserve">No hidden substitution.</w:t>
      </w:r>
      <w:r>
        <w:rPr>
          <w:rFonts w:ascii="Inter" w:hAnsi="Inter" w:eastAsia="Inter" w:cs="Inter"/>
          <w:color w:val="101828"/>
        </w:rPr>
        <w:t xml:space="preserve"> Never sell expert work and silently replace accountable judgment with unreviewed automation.</w:t>
      </w:r>
    </w:p>
    <w:p>
      <w:pPr>
        <w:pStyle w:val="ListParagraph"/>
        <w:numPr>
          <w:ilvl w:val="0"/>
          <w:numId w:val="3"/>
        </w:numPr>
        <w:spacing w:after="60"/>
      </w:pPr>
      <w:r>
        <w:rPr>
          <w:rFonts w:ascii="Inter" w:hAnsi="Inter" w:eastAsia="Inter" w:cs="Inter"/>
          <w:b/>
          <w:bCs/>
          <w:color w:val="101828"/>
        </w:rPr>
        <w:t xml:space="preserve">Continuous improvement.</w:t>
      </w:r>
      <w:r>
        <w:rPr>
          <w:rFonts w:ascii="Inter" w:hAnsi="Inter" w:eastAsia="Inter" w:cs="Inter"/>
          <w:color w:val="101828"/>
        </w:rPr>
        <w:t xml:space="preserve"> Capture errors, exceptions and successful patterns to improve the workflow.</w:t>
      </w:r>
    </w:p>
    <w:p>
      <w:pPr>
        <w:spacing w:after="80" w:before="0"/>
      </w:pPr>
    </w:p>
    <w:p>
      <w:pPr>
        <w:pStyle w:val="Heading3"/>
        <w:keepNext/>
        <w:keepLines/>
        <w:widowControl/>
      </w:pPr>
      <w:r>
        <w:rPr>
          <w:rFonts w:ascii="Inter" w:hAnsi="Inter" w:eastAsia="Inter" w:cs="Inter"/>
          <w:color w:val="315BFF"/>
        </w:rPr>
        <w:t xml:space="preserve">AI workflow record</w:t>
      </w:r>
    </w:p>
    <w:p>
      <w:pPr>
        <w:spacing w:after="140"/>
      </w:pPr>
      <w:r>
        <w:rPr>
          <w:rFonts w:ascii="Inter" w:hAnsi="Inter" w:eastAsia="Inter" w:cs="Inter"/>
          <w:color w:val="101828"/>
        </w:rPr>
        <w:t xml:space="preserve">For repeatable or sensitive workflows, document the purpose and owner, approved tool and account type, permitted and prohibited data, source material, prompt or process version, human review point, quality rubric, exception and escalation rule, output retention and deletion approach, and performance or adoption measure.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Release rule.</w:t>
            </w:r>
            <w:r>
              <w:rPr>
                <w:rFonts w:ascii="Inter" w:hAnsi="Inter" w:eastAsia="Inter" w:cs="Inter"/>
                <w:color w:val="101828"/>
                <w:sz w:val="19"/>
                <w:szCs w:val="19"/>
              </w:rPr>
              <w:t xml:space="preserve"> No client-facing AI-assisted output is released because it reads well. It must pass the same factual, commercial, brand and implementation standards as human-produced work.</w:t>
            </w:r>
          </w:p>
        </w:tc>
      </w:tr>
    </w:tbl>
    <w:p>
      <w:pPr>
        <w:spacing w:after="160" w:before="0"/>
      </w:pPr>
    </w:p>
    <w:p>
      <w:pPr>
        <w:keepNext/>
        <w:spacing w:after="40" w:before="360"/>
      </w:pPr>
      <w:r>
        <w:rPr>
          <w:rFonts w:ascii="Inter" w:hAnsi="Inter" w:eastAsia="Inter" w:cs="Inter"/>
          <w:b/>
          <w:bCs/>
          <w:color w:val="315BFF"/>
          <w:spacing w:val="20"/>
          <w:sz w:val="16"/>
          <w:szCs w:val="16"/>
        </w:rPr>
        <w:t xml:space="preserve">2.4 MEASUREMENT SYSTEM</w:t>
      </w:r>
    </w:p>
    <w:p>
      <w:pPr>
        <w:pStyle w:val="Heading2"/>
        <w:keepNext/>
        <w:keepLines/>
        <w:widowControl/>
        <w:spacing w:before="0"/>
      </w:pPr>
      <w:r>
        <w:rPr>
          <w:rFonts w:ascii="Manrope" w:hAnsi="Manrope" w:eastAsia="Manrope" w:cs="Manrope"/>
          <w:color w:val="101828"/>
        </w:rPr>
        <w:t xml:space="preserve">Track a few measures that support decisions</w:t>
      </w:r>
    </w:p>
    <w:p>
      <w:pPr>
        <w:spacing w:after="140"/>
      </w:pPr>
      <w:r>
        <w:rPr>
          <w:rFonts w:ascii="Inter" w:hAnsi="Inter" w:eastAsia="Inter" w:cs="Inter"/>
          <w:color w:val="101828"/>
        </w:rPr>
        <w:t xml:space="preserve">Select only indicators the client can measure reliably and act upon.</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685"/>
        <w:gridCol w:w="3744"/>
        <w:gridCol w:w="3931"/>
      </w:tblGrid>
      <w:tr>
        <w:trPr>
          <w:cantSplit/>
          <w:tblHeader w:val="true"/>
        </w:trPr>
        <w:tc>
          <w:tcPr>
            <w:tcW w:type="dxa" w:w="168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Outcome</w:t>
            </w:r>
          </w:p>
        </w:tc>
        <w:tc>
          <w:tcPr>
            <w:tcW w:type="dxa" w:w="374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Illustrative measure</w:t>
            </w:r>
          </w:p>
        </w:tc>
        <w:tc>
          <w:tcPr>
            <w:tcW w:type="dxa" w:w="393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Interpretation caution</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Discoverability</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Search rank, share of search, organic visibility or impression share</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Influenced by media, price, availability, history and competition</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Engagement</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Click-through rate or qualified product-page traffic</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Creative, placement, audience and offer all affect the result</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Conversion</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Detail-page conversion or add-to-cart rate where available</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Price, reviews, inventory, delivery promise and promotions can dominate</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Economics</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Contribution margin, profitable sales, advertising efficiency or cost to acquire</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Agree data definitions and controlled variables</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Portfolio</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Revenue or margin per priority ASIN; share of portfolio meeting the content standard</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Do not optimize low-potential products equally</w:t>
            </w:r>
          </w:p>
        </w:tc>
      </w:tr>
    </w:tbl>
    <w:p>
      <w:pPr>
        <w:spacing w:after="160" w:before="0"/>
      </w:pPr>
    </w:p>
    <w:p>
      <w:pPr>
        <w:pStyle w:val="Heading3"/>
        <w:keepNext/>
        <w:keepLines/>
        <w:widowControl/>
      </w:pPr>
      <w:r>
        <w:rPr>
          <w:rFonts w:ascii="Inter" w:hAnsi="Inter" w:eastAsia="Inter" w:cs="Inter"/>
          <w:color w:val="315BFF"/>
        </w:rPr>
        <w:t xml:space="preserve">Delivery and capability measures</w:t>
      </w:r>
    </w:p>
    <w:p>
      <w:pPr>
        <w:pStyle w:val="ListParagraph"/>
        <w:numPr>
          <w:ilvl w:val="0"/>
          <w:numId w:val="3"/>
        </w:numPr>
        <w:spacing w:after="60"/>
      </w:pPr>
      <w:r>
        <w:rPr>
          <w:rFonts w:ascii="Inter" w:hAnsi="Inter" w:eastAsia="Inter" w:cs="Inter"/>
          <w:b/>
          <w:bCs/>
          <w:color w:val="101828"/>
        </w:rPr>
        <w:t xml:space="preserve">Delivery:</w:t>
      </w:r>
      <w:r>
        <w:rPr>
          <w:rFonts w:ascii="Inter" w:hAnsi="Inter" w:eastAsia="Inter" w:cs="Inter"/>
          <w:color w:val="101828"/>
        </w:rPr>
        <w:t xml:space="preserve"> on-time milestone rate, first-pass quality score, revision or rework rate, content cycle time, response time against service level, priority products completed, stakeholder decision time, scope changes and root cause.</w:t>
      </w:r>
    </w:p>
    <w:p>
      <w:pPr>
        <w:pStyle w:val="ListParagraph"/>
        <w:numPr>
          <w:ilvl w:val="0"/>
          <w:numId w:val="3"/>
        </w:numPr>
        <w:spacing w:after="60"/>
      </w:pPr>
      <w:r>
        <w:rPr>
          <w:rFonts w:ascii="Inter" w:hAnsi="Inter" w:eastAsia="Inter" w:cs="Inter"/>
          <w:b/>
          <w:bCs/>
          <w:color w:val="101828"/>
        </w:rPr>
        <w:t xml:space="preserve">Capability:</w:t>
      </w:r>
      <w:r>
        <w:rPr>
          <w:rFonts w:ascii="Inter" w:hAnsi="Inter" w:eastAsia="Inter" w:cs="Inter"/>
          <w:color w:val="101828"/>
        </w:rPr>
        <w:t xml:space="preserve"> share of target users applying the workflow, quality score of client-produced output, time to complete the work independently, internal champions or certified reviewers, reduction in escalations or dependency, adoption after 30, 60 and 90 days.</w:t>
      </w:r>
    </w:p>
    <w:p>
      <w:pPr>
        <w:spacing w:after="80" w:before="0"/>
      </w:pPr>
    </w:p>
    <w:p>
      <w:pPr>
        <w:pStyle w:val="Heading3"/>
        <w:keepNext/>
        <w:keepLines/>
        <w:widowControl/>
      </w:pPr>
      <w:r>
        <w:rPr>
          <w:rFonts w:ascii="Inter" w:hAnsi="Inter" w:eastAsia="Inter" w:cs="Inter"/>
          <w:color w:val="315BFF"/>
        </w:rPr>
        <w:t xml:space="preserve">Baseline and review</w:t>
      </w:r>
    </w:p>
    <w:p>
      <w:pPr>
        <w:spacing w:after="140"/>
      </w:pPr>
      <w:r>
        <w:rPr>
          <w:rFonts w:ascii="Inter" w:hAnsi="Inter" w:eastAsia="Inter" w:cs="Inter"/>
          <w:color w:val="101828"/>
        </w:rPr>
        <w:t xml:space="preserve">For each measure define the metric and formula, source and owner, baseline period, success threshold, review date, variables that may affect interpretation, and the action triggered by a positive, neutral or negative result.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Prefer:</w:t>
            </w:r>
            <w:r>
              <w:rPr>
                <w:rFonts w:ascii="Inter" w:hAnsi="Inter" w:eastAsia="Inter" w:cs="Inter"/>
                <w:color w:val="101828"/>
                <w:sz w:val="19"/>
                <w:szCs w:val="19"/>
              </w:rPr>
              <w:t xml:space="preserve"> Conversion increased 12% during the six weeks after the new listing launched. Price, rating and inventory remained broadly stable; advertising mix changed during week four, so the result should be treated as directional rather than fully attributed.</w:t>
            </w:r>
          </w:p>
          <w:p>
            <w:pPr>
              <w:spacing w:after="70"/>
            </w:pPr>
            <w:r>
              <w:rPr>
                <w:rFonts w:ascii="Inter" w:hAnsi="Inter" w:eastAsia="Inter" w:cs="Inter"/>
                <w:b/>
                <w:bCs/>
                <w:color w:val="101828"/>
                <w:sz w:val="19"/>
                <w:szCs w:val="19"/>
              </w:rPr>
              <w:t xml:space="preserve">Avoid:</w:t>
            </w:r>
            <w:r>
              <w:rPr>
                <w:rFonts w:ascii="Inter" w:hAnsi="Inter" w:eastAsia="Inter" w:cs="Inter"/>
                <w:color w:val="101828"/>
                <w:sz w:val="19"/>
                <w:szCs w:val="19"/>
              </w:rPr>
              <w:t xml:space="preserve"> Our new content drove 12% growth.</w:t>
            </w:r>
          </w:p>
        </w:tc>
      </w:tr>
    </w:tbl>
    <w:p>
      <w:pPr>
        <w:spacing w:after="160" w:before="0"/>
      </w:pPr>
    </w:p>
    <w:p>
      <w:pPr>
        <w:keepNext/>
        <w:spacing w:after="40" w:before="360"/>
      </w:pPr>
      <w:r>
        <w:rPr>
          <w:rFonts w:ascii="Inter" w:hAnsi="Inter" w:eastAsia="Inter" w:cs="Inter"/>
          <w:b/>
          <w:bCs/>
          <w:color w:val="315BFF"/>
          <w:spacing w:val="20"/>
          <w:sz w:val="16"/>
          <w:szCs w:val="16"/>
        </w:rPr>
        <w:t xml:space="preserve">2.5 SERVICE RECOVERY</w:t>
      </w:r>
    </w:p>
    <w:p>
      <w:pPr>
        <w:pStyle w:val="Heading2"/>
        <w:keepNext/>
        <w:keepLines/>
        <w:widowControl/>
        <w:spacing w:before="0"/>
      </w:pPr>
      <w:r>
        <w:rPr>
          <w:rFonts w:ascii="Manrope" w:hAnsi="Manrope" w:eastAsia="Manrope" w:cs="Manrope"/>
          <w:color w:val="101828"/>
        </w:rPr>
        <w:t xml:space="preserve">Handle problems in a way that strengthens trust</w:t>
      </w:r>
    </w:p>
    <w:p>
      <w:pPr>
        <w:pStyle w:val="ListParagraph"/>
        <w:numPr>
          <w:ilvl w:val="0"/>
          <w:numId w:val="4"/>
        </w:numPr>
        <w:spacing w:after="60"/>
      </w:pPr>
      <w:r>
        <w:rPr>
          <w:rFonts w:ascii="Inter" w:hAnsi="Inter" w:eastAsia="Inter" w:cs="Inter"/>
          <w:b/>
          <w:bCs/>
          <w:color w:val="101828"/>
        </w:rPr>
        <w:t xml:space="preserve">Acknowledge quickly.</w:t>
      </w:r>
      <w:r>
        <w:rPr>
          <w:rFonts w:ascii="Inter" w:hAnsi="Inter" w:eastAsia="Inter" w:cs="Inter"/>
          <w:color w:val="101828"/>
        </w:rPr>
        <w:t xml:space="preserve"> State what happened without minimizing it.</w:t>
      </w:r>
    </w:p>
    <w:p>
      <w:pPr>
        <w:pStyle w:val="ListParagraph"/>
        <w:numPr>
          <w:ilvl w:val="0"/>
          <w:numId w:val="4"/>
        </w:numPr>
        <w:spacing w:after="60"/>
      </w:pPr>
      <w:r>
        <w:rPr>
          <w:rFonts w:ascii="Inter" w:hAnsi="Inter" w:eastAsia="Inter" w:cs="Inter"/>
          <w:b/>
          <w:bCs/>
          <w:color w:val="101828"/>
        </w:rPr>
        <w:t xml:space="preserve">Own the controllable part.</w:t>
      </w:r>
      <w:r>
        <w:rPr>
          <w:rFonts w:ascii="Inter" w:hAnsi="Inter" w:eastAsia="Inter" w:cs="Inter"/>
          <w:color w:val="101828"/>
        </w:rPr>
        <w:t xml:space="preserve"> Do not hide behind process or another team.</w:t>
      </w:r>
    </w:p>
    <w:p>
      <w:pPr>
        <w:pStyle w:val="ListParagraph"/>
        <w:numPr>
          <w:ilvl w:val="0"/>
          <w:numId w:val="4"/>
        </w:numPr>
        <w:spacing w:after="60"/>
      </w:pPr>
      <w:r>
        <w:rPr>
          <w:rFonts w:ascii="Inter" w:hAnsi="Inter" w:eastAsia="Inter" w:cs="Inter"/>
          <w:b/>
          <w:bCs/>
          <w:color w:val="101828"/>
        </w:rPr>
        <w:t xml:space="preserve">Protect the client.</w:t>
      </w:r>
      <w:r>
        <w:rPr>
          <w:rFonts w:ascii="Inter" w:hAnsi="Inter" w:eastAsia="Inter" w:cs="Inter"/>
          <w:color w:val="101828"/>
        </w:rPr>
        <w:t xml:space="preserve"> Address immediate business or relationship risk first.</w:t>
      </w:r>
    </w:p>
    <w:p>
      <w:pPr>
        <w:pStyle w:val="ListParagraph"/>
        <w:numPr>
          <w:ilvl w:val="0"/>
          <w:numId w:val="4"/>
        </w:numPr>
        <w:spacing w:after="60"/>
      </w:pPr>
      <w:r>
        <w:rPr>
          <w:rFonts w:ascii="Inter" w:hAnsi="Inter" w:eastAsia="Inter" w:cs="Inter"/>
          <w:b/>
          <w:bCs/>
          <w:color w:val="101828"/>
        </w:rPr>
        <w:t xml:space="preserve">Correct the output.</w:t>
      </w:r>
      <w:r>
        <w:rPr>
          <w:rFonts w:ascii="Inter" w:hAnsi="Inter" w:eastAsia="Inter" w:cs="Inter"/>
          <w:color w:val="101828"/>
        </w:rPr>
        <w:t xml:space="preserve"> Give a realistic date and owner.</w:t>
      </w:r>
    </w:p>
    <w:p>
      <w:pPr>
        <w:pStyle w:val="ListParagraph"/>
        <w:numPr>
          <w:ilvl w:val="0"/>
          <w:numId w:val="4"/>
        </w:numPr>
        <w:spacing w:after="60"/>
      </w:pPr>
      <w:r>
        <w:rPr>
          <w:rFonts w:ascii="Inter" w:hAnsi="Inter" w:eastAsia="Inter" w:cs="Inter"/>
          <w:b/>
          <w:bCs/>
          <w:color w:val="101828"/>
        </w:rPr>
        <w:t xml:space="preserve">Explain the cause.</w:t>
      </w:r>
      <w:r>
        <w:rPr>
          <w:rFonts w:ascii="Inter" w:hAnsi="Inter" w:eastAsia="Inter" w:cs="Inter"/>
          <w:color w:val="101828"/>
        </w:rPr>
        <w:t xml:space="preserve"> Share enough detail to make prevention credible.</w:t>
      </w:r>
    </w:p>
    <w:p>
      <w:pPr>
        <w:pStyle w:val="ListParagraph"/>
        <w:numPr>
          <w:ilvl w:val="0"/>
          <w:numId w:val="4"/>
        </w:numPr>
        <w:spacing w:after="60"/>
      </w:pPr>
      <w:r>
        <w:rPr>
          <w:rFonts w:ascii="Inter" w:hAnsi="Inter" w:eastAsia="Inter" w:cs="Inter"/>
          <w:b/>
          <w:bCs/>
          <w:color w:val="101828"/>
        </w:rPr>
        <w:t xml:space="preserve">Change the system.</w:t>
      </w:r>
      <w:r>
        <w:rPr>
          <w:rFonts w:ascii="Inter" w:hAnsi="Inter" w:eastAsia="Inter" w:cs="Inter"/>
          <w:color w:val="101828"/>
        </w:rPr>
        <w:t xml:space="preserve"> Update the brief, gate, staffing, timeline or control.</w:t>
      </w:r>
    </w:p>
    <w:p>
      <w:pPr>
        <w:pStyle w:val="ListParagraph"/>
        <w:numPr>
          <w:ilvl w:val="0"/>
          <w:numId w:val="4"/>
        </w:numPr>
        <w:spacing w:after="60"/>
      </w:pPr>
      <w:r>
        <w:rPr>
          <w:rFonts w:ascii="Inter" w:hAnsi="Inter" w:eastAsia="Inter" w:cs="Inter"/>
          <w:b/>
          <w:bCs/>
          <w:color w:val="101828"/>
        </w:rPr>
        <w:t xml:space="preserve">Confirm resolution.</w:t>
      </w:r>
      <w:r>
        <w:rPr>
          <w:rFonts w:ascii="Inter" w:hAnsi="Inter" w:eastAsia="Inter" w:cs="Inter"/>
          <w:color w:val="101828"/>
        </w:rPr>
        <w:t xml:space="preserve"> Ask whether the correction meets the intended standard.</w:t>
      </w:r>
    </w:p>
    <w:p>
      <w:pPr>
        <w:spacing w:after="8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Example.</w:t>
            </w:r>
            <w:r>
              <w:rPr>
                <w:rFonts w:ascii="Inter" w:hAnsi="Inter" w:eastAsia="Inter" w:cs="Inter"/>
                <w:color w:val="101828"/>
                <w:sz w:val="19"/>
                <w:szCs w:val="19"/>
              </w:rPr>
              <w:t xml:space="preserve"> We delivered a draft before the claim evidence had been fully confirmed. That was our error. The draft has been withdrawn, the corrected version will be ready by Tuesday at 2 p.m. ET, and future claim-dependent work will not pass internal review until the evidence owner is named and the source is recorded.</w:t>
            </w:r>
          </w:p>
        </w:tc>
      </w:tr>
    </w:tbl>
    <w:p>
      <w:pPr>
        <w:spacing w:after="160" w:before="0"/>
      </w:pPr>
    </w:p>
    <w:p>
      <w:pPr>
        <w:spacing w:after="140"/>
      </w:pPr>
      <w:r>
        <w:rPr>
          <w:rFonts w:ascii="Inter" w:hAnsi="Inter" w:eastAsia="Inter" w:cs="Inter"/>
          <w:color w:val="101828"/>
        </w:rPr>
        <w:t xml:space="preserve">Avoid vague apologies such as "Sorry for any inconvenience" without ownership or correction.</w:t>
      </w: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03</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Training</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Training and Team Enablement is a founding product family: standalone programs must generate immediate business outputs and lasting behavior change.</w:t>
      </w:r>
    </w:p>
    <w:p>
      <w:pPr>
        <w:keepNext/>
        <w:spacing w:after="40" w:before="360"/>
      </w:pPr>
      <w:r>
        <w:rPr>
          <w:rFonts w:ascii="Inter" w:hAnsi="Inter" w:eastAsia="Inter" w:cs="Inter"/>
          <w:b/>
          <w:bCs/>
          <w:color w:val="315BFF"/>
          <w:spacing w:val="20"/>
          <w:sz w:val="16"/>
          <w:szCs w:val="16"/>
        </w:rPr>
        <w:t xml:space="preserve">3.1 APPLIED LEARNING MODEL</w:t>
      </w:r>
    </w:p>
    <w:p>
      <w:pPr>
        <w:pStyle w:val="Heading2"/>
        <w:keepNext/>
        <w:keepLines/>
        <w:widowControl/>
        <w:spacing w:before="0"/>
      </w:pPr>
      <w:r>
        <w:rPr>
          <w:rFonts w:ascii="Manrope" w:hAnsi="Manrope" w:eastAsia="Manrope" w:cs="Manrope"/>
          <w:color w:val="101828"/>
        </w:rPr>
        <w:t>Expert consulting, applied through learning</w:t>
      </w:r>
    </w:p>
    <w:p>
      <w:pPr>
        <w:spacing w:after="140"/>
      </w:pPr>
      <w:r>
        <w:rPr>
          <w:rFonts w:ascii="Inter" w:hAnsi="Inter" w:eastAsia="Inter" w:cs="Inter"/>
          <w:color w:val="101828"/>
        </w:rPr>
        <w:t>Training should feel like expert consulting applied through learning, not a generic course deck.</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E7F5F0"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The learning cycle.</w:t>
            </w:r>
            <w:r>
              <w:rPr>
                <w:rFonts w:ascii="Inter" w:hAnsi="Inter" w:eastAsia="Inter" w:cs="Inter"/>
                <w:color w:val="101828"/>
                <w:sz w:val="19"/>
                <w:szCs w:val="19"/>
              </w:rPr>
              <w:t xml:space="preserve"> Learn the commercial principle. Apply it to real products and workflows. Review against the standard with expert feedback. Repeat the process independently.</w:t>
            </w:r>
          </w:p>
        </w:tc>
      </w:tr>
    </w:tbl>
    <w:p>
      <w:pPr>
        <w:spacing w:after="160" w:before="0"/>
      </w:pPr>
    </w:p>
    <w:p>
      <w:pPr>
        <w:spacing w:after="140"/>
      </w:pPr>
      <w:r>
        <w:rPr>
          <w:rFonts w:ascii="Inter" w:hAnsi="Inter" w:eastAsia="Inter" w:cs="Inter"/>
          <w:color w:val="101828"/>
        </w:rPr>
        <w:t xml:space="preserve">Deeper programs follow a release-of-responsibility sequence: we show, we build together, you lead, we certify.</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Training promise: bring real products and workflows. Leave with improved work, repeatable tools and named next actions.</w:t>
            </w:r>
          </w:p>
        </w:tc>
      </w:tr>
    </w:tbl>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434"/>
        <w:gridCol w:w="6926"/>
      </w:tblGrid>
      <w:tr>
        <w:trPr>
          <w:cantSplit/>
          <w:tblHeader w:val="true"/>
        </w:trPr>
        <w:tc>
          <w:tcPr>
            <w:tcW w:type="dxa" w:w="243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Choice System stage</w:t>
            </w:r>
          </w:p>
        </w:tc>
        <w:tc>
          <w:tcPr>
            <w:tcW w:type="dxa" w:w="692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Training application</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Diagnose</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Assess participants, current workflow, business problem, quality gaps and desired capability</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Position</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Define the few learning and behavior priorities that matter most</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Build</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Create examples, exercises, templates, rubrics and live applied outputs</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Validate</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Assess participant work against the shared standard</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Enable</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Assign internal ownership, tools, coaching and follow-through</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Scale</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Extend through champions, cohorts, train-the-trainer or wider workflow adoption</w:t>
            </w:r>
          </w:p>
        </w:tc>
      </w:tr>
    </w:tbl>
    <w:p>
      <w:pPr>
        <w:spacing w:after="160" w:before="0"/>
      </w:pPr>
    </w:p>
    <w:p>
      <w:pPr>
        <w:keepNext/>
        <w:spacing w:after="40" w:before="360"/>
      </w:pPr>
      <w:r>
        <w:rPr>
          <w:rFonts w:ascii="Inter" w:hAnsi="Inter" w:eastAsia="Inter" w:cs="Inter"/>
          <w:b/>
          <w:bCs/>
          <w:color w:val="315BFF"/>
          <w:spacing w:val="20"/>
          <w:sz w:val="16"/>
          <w:szCs w:val="16"/>
        </w:rPr>
        <w:t xml:space="preserve">3.2 TRAINING PORTFOLIO</w:t>
      </w:r>
    </w:p>
    <w:p>
      <w:pPr>
        <w:pStyle w:val="Heading2"/>
        <w:keepNext/>
        <w:keepLines/>
        <w:widowControl/>
        <w:spacing w:before="0"/>
      </w:pPr>
      <w:r>
        <w:rPr>
          <w:rFonts w:ascii="Manrope" w:hAnsi="Manrope" w:eastAsia="Manrope" w:cs="Manrope"/>
          <w:color w:val="101828"/>
        </w:rPr>
        <w:t>Two standalone programs at launch, three ready to follow</w:t>
      </w:r>
    </w:p>
    <w:p>
      <w:pPr>
        <w:spacing w:after="140"/>
      </w:pPr>
      <w:r>
        <w:rPr>
          <w:rFonts w:ascii="Inter" w:hAnsi="Inter" w:eastAsia="Inter" w:cs="Inter"/>
          <w:color w:val="101828"/>
        </w:rPr>
        <w:t>At launch, ADelier sells two standalone private training programs: Amazon Conversion Foundations and Agency Marketplace Enablement. Either may be purchased without a prior delivery engagement. Both use live client or agency work and produce implementation-ready outputs. AI for Marketplace Teams, Marketplace Positioning Lab and Executive Marketplace Briefing remain next-wave programs until their launch criteria are met.</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059"/>
        <w:gridCol w:w="1310"/>
        <w:gridCol w:w="2434"/>
        <w:gridCol w:w="3557"/>
      </w:tblGrid>
      <w:tr>
        <w:trPr>
          <w:cantSplit/>
          <w:tblHeader w:val="true"/>
        </w:trPr>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Program</w:t>
            </w:r>
          </w:p>
        </w:tc>
        <w:tc>
          <w:tcPr>
            <w:tcW w:type="dxa" w:w="131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Status</w:t>
            </w:r>
          </w:p>
        </w:tc>
        <w:tc>
          <w:tcPr>
            <w:tcW w:type="dxa" w:w="243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Audience</w:t>
            </w:r>
          </w:p>
        </w:tc>
        <w:tc>
          <w:tcPr>
            <w:tcW w:type="dxa" w:w="355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Format</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Amazon Conversion Foundations</w:t>
            </w:r>
          </w:p>
        </w:tc>
        <w:tc>
          <w:tcPr>
            <w:tcW w:type="dxa" w:w="131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Launch</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Agency and brand teams needing a shared conversion-quality baseline</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One private day or two half-days, with pre-work and a 30-day applied review</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Agency Marketplace Enablement</w:t>
            </w:r>
          </w:p>
        </w:tc>
        <w:tc>
          <w:tcPr>
            <w:tcW w:type="dxa" w:w="131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Launch</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Agencies building or strengthening an Amazon offer</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Two leadership sessions, one applied pilot and review over two to four weeks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AI for Marketplace Teams</w:t>
            </w:r>
          </w:p>
        </w:tc>
        <w:tc>
          <w:tcPr>
            <w:tcW w:type="dxa" w:w="131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Next wave</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Non-technical marketing, e-commerce and agency teams</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Two workshops plus a coached pilot over three to four weeks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Marketplace Positioning Lab</w:t>
            </w:r>
          </w:p>
        </w:tc>
        <w:tc>
          <w:tcPr>
            <w:tcW w:type="dxa" w:w="131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Next wave</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Teams responsible for positioning, copy and creative</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One-day working session after a short evidence-gathering sprint</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Executive Marketplace Briefing</w:t>
            </w:r>
          </w:p>
        </w:tc>
        <w:tc>
          <w:tcPr>
            <w:tcW w:type="dxa" w:w="131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Next wave</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Leadership teams deciding where to invest</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60 to 120-minute working session</w:t>
            </w:r>
          </w:p>
        </w:tc>
      </w:tr>
    </w:tbl>
    <w:p>
      <w:pPr>
        <w:spacing w:after="160" w:before="0"/>
      </w:pPr>
    </w:p>
    <w:p>
      <w:pPr>
        <w:keepNext/>
        <w:spacing w:after="40" w:before="360"/>
      </w:pPr>
      <w:r>
        <w:rPr>
          <w:rFonts w:ascii="Inter" w:hAnsi="Inter" w:eastAsia="Inter" w:cs="Inter"/>
          <w:b/>
          <w:bCs/>
          <w:color w:val="315BFF"/>
          <w:spacing w:val="20"/>
          <w:sz w:val="16"/>
          <w:szCs w:val="16"/>
        </w:rPr>
        <w:t xml:space="preserve">3.3 TRAINING QUALITY STANDARDS</w:t>
      </w:r>
    </w:p>
    <w:p>
      <w:pPr>
        <w:pStyle w:val="Heading2"/>
        <w:keepNext/>
        <w:keepLines/>
        <w:widowControl/>
        <w:spacing w:before="0"/>
      </w:pPr>
      <w:r>
        <w:rPr>
          <w:rFonts w:ascii="Manrope" w:hAnsi="Manrope" w:eastAsia="Manrope" w:cs="Manrope"/>
          <w:color w:val="101828"/>
        </w:rPr>
        <w:t xml:space="preserve">Measure application, not attendance</w:t>
      </w:r>
    </w:p>
    <w:p>
      <w:pPr>
        <w:spacing w:after="140"/>
      </w:pPr>
      <w:r>
        <w:rPr>
          <w:rFonts w:ascii="Inter" w:hAnsi="Inter" w:eastAsia="Inter" w:cs="Inter"/>
          <w:color w:val="101828"/>
        </w:rPr>
        <w:t xml:space="preserve">A workshop is successful only when participants produce better work and the organization sustains the behavior after ADelier leaves.</w:t>
      </w:r>
    </w:p>
    <w:p>
      <w:pPr>
        <w:pStyle w:val="Heading3"/>
        <w:keepNext/>
        <w:keepLines/>
        <w:widowControl/>
      </w:pPr>
      <w:r>
        <w:rPr>
          <w:rFonts w:ascii="Inter" w:hAnsi="Inter" w:eastAsia="Inter" w:cs="Inter"/>
          <w:color w:val="315BFF"/>
        </w:rPr>
        <w:t>Standalone program standard</w:t>
      </w:r>
    </w:p>
    <w:p>
      <w:pPr>
        <w:spacing w:after="140"/>
      </w:pPr>
      <w:r>
        <w:rPr>
          <w:rFonts w:ascii="Inter" w:hAnsi="Inter" w:eastAsia="Inter" w:cs="Inter"/>
          <w:color w:val="101828"/>
        </w:rPr>
        <w:t>A standalone training engagement is a paid product with its own business outcome, commercial scope, preparation, applied outputs and follow-through. It is not a free demonstration of delivery services.</w:t>
      </w:r>
    </w:p>
    <w:p>
      <w:pPr>
        <w:pStyle w:val="ListParagraph"/>
        <w:numPr>
          <w:ilvl w:val="0"/>
          <w:numId w:val="3"/>
        </w:numPr>
        <w:spacing w:after="60"/>
      </w:pPr>
      <w:r>
        <w:rPr>
          <w:rFonts w:ascii="Inter" w:hAnsi="Inter" w:eastAsia="Inter" w:cs="Inter"/>
          <w:color w:val="101828"/>
        </w:rPr>
        <w:t>Can be contracted without an ADelier delivery engagement.</w:t>
      </w:r>
    </w:p>
    <w:p>
      <w:pPr>
        <w:pStyle w:val="ListParagraph"/>
        <w:numPr>
          <w:ilvl w:val="0"/>
          <w:numId w:val="3"/>
        </w:numPr>
        <w:spacing w:after="60"/>
      </w:pPr>
      <w:r>
        <w:rPr>
          <w:rFonts w:ascii="Inter" w:hAnsi="Inter" w:eastAsia="Inter" w:cs="Inter"/>
          <w:color w:val="101828"/>
        </w:rPr>
        <w:t>Begins with a short capability and context assessment included in the program fee.</w:t>
      </w:r>
    </w:p>
    <w:p>
      <w:pPr>
        <w:pStyle w:val="ListParagraph"/>
        <w:numPr>
          <w:ilvl w:val="0"/>
          <w:numId w:val="3"/>
        </w:numPr>
        <w:spacing w:after="60"/>
      </w:pPr>
      <w:r>
        <w:rPr>
          <w:rFonts w:ascii="Inter" w:hAnsi="Inter" w:eastAsia="Inter" w:cs="Inter"/>
          <w:color w:val="101828"/>
        </w:rPr>
        <w:t>Uses real products, client situations, workflows or decisions.</w:t>
      </w:r>
    </w:p>
    <w:p>
      <w:pPr>
        <w:pStyle w:val="ListParagraph"/>
        <w:numPr>
          <w:ilvl w:val="0"/>
          <w:numId w:val="3"/>
        </w:numPr>
        <w:spacing w:after="60"/>
      </w:pPr>
      <w:r>
        <w:rPr>
          <w:rFonts w:ascii="Inter" w:hAnsi="Inter" w:eastAsia="Inter" w:cs="Inter"/>
          <w:color w:val="101828"/>
        </w:rPr>
        <w:t>Creates practical outputs during the program and leaves reusable tools behind.</w:t>
      </w:r>
    </w:p>
    <w:p>
      <w:pPr>
        <w:pStyle w:val="ListParagraph"/>
        <w:numPr>
          <w:ilvl w:val="0"/>
          <w:numId w:val="3"/>
        </w:numPr>
        <w:spacing w:after="60"/>
      </w:pPr>
      <w:r>
        <w:rPr>
          <w:rFonts w:ascii="Inter" w:hAnsi="Inter" w:eastAsia="Inter" w:cs="Inter"/>
          <w:color w:val="101828"/>
        </w:rPr>
        <w:t>Assigns a named internal owner and ends with an implementation commitment and review date.</w:t>
      </w:r>
    </w:p>
    <w:p>
      <w:pPr>
        <w:pStyle w:val="ListParagraph"/>
        <w:numPr>
          <w:ilvl w:val="0"/>
          <w:numId w:val="3"/>
        </w:numPr>
        <w:spacing w:after="60"/>
      </w:pPr>
      <w:r>
        <w:rPr>
          <w:rFonts w:ascii="Inter" w:hAnsi="Inter" w:eastAsia="Inter" w:cs="Inter"/>
          <w:color w:val="101828"/>
        </w:rPr>
        <w:t>Is evaluated through applied work and quality, not attendance alone.</w:t>
      </w:r>
    </w:p>
    <w:p>
      <w:pPr>
        <w:pStyle w:val="ListParagraph"/>
        <w:numPr>
          <w:ilvl w:val="0"/>
          <w:numId w:val="3"/>
        </w:numPr>
        <w:spacing w:after="60"/>
      </w:pPr>
      <w:r>
        <w:rPr>
          <w:rFonts w:ascii="Inter" w:hAnsi="Inter" w:eastAsia="Inter" w:cs="Inter"/>
          <w:color w:val="101828"/>
        </w:rPr>
        <w:t>Does not contain an undisclosed sales pitch for additional services.</w:t>
      </w:r>
    </w:p>
    <w:p>
      <w:pPr>
        <w:pStyle w:val="Heading3"/>
        <w:keepNext/>
        <w:keepLines/>
        <w:widowControl/>
      </w:pPr>
      <w:r>
        <w:rPr>
          <w:rFonts w:ascii="Inter" w:hAnsi="Inter" w:eastAsia="Inter" w:cs="Inter"/>
          <w:color w:val="315BFF"/>
        </w:rPr>
        <w:t xml:space="preserve">Required elements in every substantial program</w:t>
      </w:r>
    </w:p>
    <w:p>
      <w:pPr>
        <w:pStyle w:val="ListParagraph"/>
        <w:numPr>
          <w:ilvl w:val="0"/>
          <w:numId w:val="3"/>
        </w:numPr>
        <w:spacing w:after="60"/>
      </w:pPr>
      <w:r>
        <w:rPr>
          <w:rFonts w:ascii="Inter" w:hAnsi="Inter" w:eastAsia="Inter" w:cs="Inter"/>
          <w:color w:val="101828"/>
        </w:rPr>
        <w:t xml:space="preserve">A pre-program diagnostic of roles, skill level, use cases and business priorities.</w:t>
      </w:r>
    </w:p>
    <w:p>
      <w:pPr>
        <w:pStyle w:val="ListParagraph"/>
        <w:numPr>
          <w:ilvl w:val="0"/>
          <w:numId w:val="3"/>
        </w:numPr>
        <w:spacing w:after="60"/>
      </w:pPr>
      <w:r>
        <w:rPr>
          <w:rFonts w:ascii="Inter" w:hAnsi="Inter" w:eastAsia="Inter" w:cs="Inter"/>
          <w:color w:val="101828"/>
        </w:rPr>
        <w:t xml:space="preserve">Examples drawn from the client's categories, products and current workflows.</w:t>
      </w:r>
    </w:p>
    <w:p>
      <w:pPr>
        <w:pStyle w:val="ListParagraph"/>
        <w:numPr>
          <w:ilvl w:val="0"/>
          <w:numId w:val="3"/>
        </w:numPr>
        <w:spacing w:after="60"/>
      </w:pPr>
      <w:r>
        <w:rPr>
          <w:rFonts w:ascii="Inter" w:hAnsi="Inter" w:eastAsia="Inter" w:cs="Inter"/>
          <w:color w:val="101828"/>
        </w:rPr>
        <w:t xml:space="preserve">Live practice on real assets rather than hypothetical exercises alone.</w:t>
      </w:r>
    </w:p>
    <w:p>
      <w:pPr>
        <w:pStyle w:val="ListParagraph"/>
        <w:numPr>
          <w:ilvl w:val="0"/>
          <w:numId w:val="3"/>
        </w:numPr>
        <w:spacing w:after="60"/>
      </w:pPr>
      <w:r>
        <w:rPr>
          <w:rFonts w:ascii="Inter" w:hAnsi="Inter" w:eastAsia="Inter" w:cs="Inter"/>
          <w:color w:val="101828"/>
        </w:rPr>
        <w:t xml:space="preserve">A visible quality standard or rubric used during review.</w:t>
      </w:r>
    </w:p>
    <w:p>
      <w:pPr>
        <w:pStyle w:val="ListParagraph"/>
        <w:numPr>
          <w:ilvl w:val="0"/>
          <w:numId w:val="3"/>
        </w:numPr>
        <w:spacing w:after="60"/>
      </w:pPr>
      <w:r>
        <w:rPr>
          <w:rFonts w:ascii="Inter" w:hAnsi="Inter" w:eastAsia="Inter" w:cs="Inter"/>
          <w:color w:val="101828"/>
        </w:rPr>
        <w:t xml:space="preserve">Templates, checklists, prompts or runbooks that stay with participants.</w:t>
      </w:r>
    </w:p>
    <w:p>
      <w:pPr>
        <w:pStyle w:val="ListParagraph"/>
        <w:numPr>
          <w:ilvl w:val="0"/>
          <w:numId w:val="3"/>
        </w:numPr>
        <w:spacing w:after="60"/>
      </w:pPr>
      <w:r>
        <w:rPr>
          <w:rFonts w:ascii="Inter" w:hAnsi="Inter" w:eastAsia="Inter" w:cs="Inter"/>
          <w:color w:val="101828"/>
        </w:rPr>
        <w:t xml:space="preserve">A named internal owner or champion for follow-through.</w:t>
      </w:r>
    </w:p>
    <w:p>
      <w:pPr>
        <w:pStyle w:val="ListParagraph"/>
        <w:numPr>
          <w:ilvl w:val="0"/>
          <w:numId w:val="3"/>
        </w:numPr>
        <w:spacing w:after="60"/>
      </w:pPr>
      <w:r>
        <w:rPr>
          <w:rFonts w:ascii="Inter" w:hAnsi="Inter" w:eastAsia="Inter" w:cs="Inter"/>
          <w:color w:val="101828"/>
        </w:rPr>
        <w:t xml:space="preserve">A 30-day implementation plan and optional follow-up review.</w:t>
      </w:r>
    </w:p>
    <w:p>
      <w:pPr>
        <w:pStyle w:val="ListParagraph"/>
        <w:numPr>
          <w:ilvl w:val="0"/>
          <w:numId w:val="3"/>
        </w:numPr>
        <w:spacing w:after="60"/>
      </w:pPr>
      <w:r>
        <w:rPr>
          <w:rFonts w:ascii="Inter" w:hAnsi="Inter" w:eastAsia="Inter" w:cs="Inter"/>
          <w:color w:val="101828"/>
        </w:rPr>
        <w:t xml:space="preserve">Measurement of adoption, output quality, cycle time or self-sufficiency where the program is large enough.</w:t>
      </w:r>
    </w:p>
    <w:p>
      <w:pPr>
        <w:pStyle w:val="ListParagraph"/>
        <w:numPr>
          <w:ilvl w:val="0"/>
          <w:numId w:val="3"/>
        </w:numPr>
        <w:spacing w:after="60"/>
      </w:pPr>
      <w:r>
        <w:rPr>
          <w:rFonts w:ascii="Inter" w:hAnsi="Inter" w:eastAsia="Inter" w:cs="Inter"/>
          <w:color w:val="101828"/>
        </w:rPr>
        <w:t>Facilitator decks use Manrope for module titles and key decisions, Inter for instruction and evidence, and Source Serif 4 Italic only for a short principle or observation.</w:t>
      </w:r>
    </w:p>
    <w:p>
      <w:pPr>
        <w:pStyle w:val="ListParagraph"/>
        <w:numPr>
          <w:ilvl w:val="0"/>
          <w:numId w:val="3"/>
        </w:numPr>
        <w:spacing w:after="60"/>
      </w:pPr>
      <w:r>
        <w:rPr>
          <w:rFonts w:ascii="Inter" w:hAnsi="Inter" w:eastAsia="Inter" w:cs="Inter"/>
          <w:color w:val="101828"/>
        </w:rPr>
        <w:t>Participant-facing slide body text is normally 18 to 21 pt; workbooks use 10.5 to 12 pt Inter. Reduce content before shrinking type.</w:t>
      </w:r>
    </w:p>
    <w:p>
      <w:pPr>
        <w:spacing w:after="80" w:before="0"/>
      </w:pPr>
    </w:p>
    <w:p>
      <w:pPr>
        <w:pStyle w:val="Heading3"/>
        <w:keepNext/>
        <w:keepLines/>
        <w:widowControl/>
      </w:pPr>
      <w:r>
        <w:rPr>
          <w:rFonts w:ascii="Inter" w:hAnsi="Inter" w:eastAsia="Inter" w:cs="Inter"/>
          <w:color w:val="315BFF"/>
        </w:rPr>
        <w:t>Multilingual delivery parity</w:t>
      </w:r>
    </w:p>
    <w:p>
      <w:pPr>
        <w:spacing w:after="140"/>
      </w:pPr>
      <w:r>
        <w:rPr>
          <w:rFonts w:ascii="Inter" w:hAnsi="Inter" w:eastAsia="Inter" w:cs="Inter"/>
          <w:color w:val="101828"/>
        </w:rPr>
        <w:t>Client-facing delivery and training may be produced in English, Polish or German. The method, learning objectives, exercises, outputs, quality standards, review gates and measures remain equivalent across languages.</w:t>
      </w:r>
    </w:p>
    <w:p>
      <w:pPr>
        <w:pStyle w:val="ListParagraph"/>
        <w:numPr>
          <w:ilvl w:val="0"/>
          <w:numId w:val="3"/>
        </w:numPr>
        <w:spacing w:after="60"/>
      </w:pPr>
      <w:r>
        <w:rPr>
          <w:rFonts w:ascii="Inter" w:hAnsi="Inter" w:eastAsia="Inter" w:cs="Inter"/>
          <w:color w:val="101828"/>
        </w:rPr>
        <w:t>Use the same template structure, sequence, visual hierarchy and approval process in EN, PL and DE.</w:t>
      </w:r>
    </w:p>
    <w:p>
      <w:pPr>
        <w:pStyle w:val="ListParagraph"/>
        <w:numPr>
          <w:ilvl w:val="0"/>
          <w:numId w:val="3"/>
        </w:numPr>
        <w:spacing w:after="60"/>
      </w:pPr>
      <w:r>
        <w:rPr>
          <w:rFonts w:ascii="Inter" w:hAnsi="Inter" w:eastAsia="Inter" w:cs="Inter"/>
          <w:color w:val="101828"/>
        </w:rPr>
        <w:t>Adapt examples and terminology to the audience and marketplace context without changing the quality bar.</w:t>
      </w:r>
    </w:p>
    <w:p>
      <w:pPr>
        <w:pStyle w:val="ListParagraph"/>
        <w:numPr>
          <w:ilvl w:val="0"/>
          <w:numId w:val="3"/>
        </w:numPr>
        <w:spacing w:after="60"/>
      </w:pPr>
      <w:r>
        <w:rPr>
          <w:rFonts w:ascii="Inter" w:hAnsi="Inter" w:eastAsia="Inter" w:cs="Inter"/>
          <w:color w:val="101828"/>
        </w:rPr>
        <w:t>Allow longer translated copy to wrap or expand; do not reduce type below the approved minimum or remove content to force equal page length.</w:t>
      </w:r>
    </w:p>
    <w:p>
      <w:pPr>
        <w:pStyle w:val="Heading3"/>
        <w:keepNext/>
        <w:keepLines/>
        <w:widowControl/>
      </w:pPr>
      <w:r>
        <w:rPr>
          <w:rFonts w:ascii="Inter" w:hAnsi="Inter" w:eastAsia="Inter" w:cs="Inter"/>
          <w:color w:val="315BFF"/>
        </w:rPr>
        <w:t>Audience variants</w:t>
      </w:r>
    </w:p>
    <w:p>
      <w:pPr>
        <w:spacing w:after="140"/>
      </w:pPr>
      <w:r>
        <w:rPr>
          <w:rFonts w:ascii="Inter" w:hAnsi="Inter" w:eastAsia="Inter" w:cs="Inter"/>
          <w:color w:val="101828"/>
        </w:rPr>
        <w:t>Amazon Conversion Foundations may be delivered in an agency edition or a brand edition. The method, program outcomes and assessment standard stay fixed; participant roles, examples, live products, commercial context and follow-through language change for the audience.</w:t>
      </w:r>
    </w:p>
    <w:p>
      <w:pPr>
        <w:pStyle w:val="Heading3"/>
        <w:keepNext/>
        <w:keepLines/>
        <w:widowControl/>
      </w:pPr>
      <w:r>
        <w:rPr>
          <w:rFonts w:ascii="Inter" w:hAnsi="Inter" w:eastAsia="Inter" w:cs="Inter"/>
          <w:color w:val="315BFF"/>
        </w:rPr>
        <w:t xml:space="preserve">Evaluation levels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685"/>
        <w:gridCol w:w="3744"/>
        <w:gridCol w:w="3931"/>
      </w:tblGrid>
      <w:tr>
        <w:trPr>
          <w:cantSplit/>
          <w:tblHeader w:val="true"/>
        </w:trPr>
        <w:tc>
          <w:tcPr>
            <w:tcW w:type="dxa" w:w="168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Level</w:t>
            </w:r>
          </w:p>
        </w:tc>
        <w:tc>
          <w:tcPr>
            <w:tcW w:type="dxa" w:w="374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Evidence</w:t>
            </w:r>
          </w:p>
        </w:tc>
        <w:tc>
          <w:tcPr>
            <w:tcW w:type="dxa" w:w="393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What it tells you</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Reaction</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Usefulness, relevance, confidence and recommendation score</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experience was well received, but not yet that behavior changed</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Learning</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Assessment, rubric improvement, successful exercise or certification</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Participants can apply the method in a controlled setting</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Application</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Workflow usage, manager observation and repeated independent output</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new approach is used in day-to-day work</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Quality</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Client-produced output scored against the agreed standard</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work now meets the bar without ADelier</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Business effect</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Faster cycle time, higher test cadence, better content quality or marketplace KPI movement</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Capability translated into operational or commercial value</w:t>
            </w:r>
          </w:p>
        </w:tc>
      </w:tr>
    </w:tbl>
    <w:p>
      <w:pPr>
        <w:spacing w:after="160" w:before="0"/>
      </w:pPr>
    </w:p>
    <w:p>
      <w:pPr>
        <w:spacing w:after="140"/>
      </w:pPr>
      <w:r>
        <w:rPr>
          <w:rFonts w:ascii="Inter" w:hAnsi="Inter" w:eastAsia="Inter" w:cs="Inter"/>
          <w:color w:val="101828"/>
        </w:rPr>
        <w:t xml:space="preserve">Use participant satisfaction as one signal, never as the final definition of success.</w:t>
      </w:r>
    </w:p>
    <w:p>
      <w:pPr>
        <w:pStyle w:val="Heading3"/>
        <w:keepNext/>
        <w:keepLines/>
        <w:widowControl/>
      </w:pPr>
      <w:r>
        <w:rPr>
          <w:rFonts w:ascii="Inter" w:hAnsi="Inter" w:eastAsia="Inter" w:cs="Inter"/>
          <w:color w:val="315BFF"/>
        </w:rPr>
        <w:t xml:space="preserve">Program governance</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434"/>
        <w:gridCol w:w="6926"/>
      </w:tblGrid>
      <w:tr>
        <w:trPr>
          <w:cantSplit/>
          <w:tblHeader w:val="true"/>
        </w:trPr>
        <w:tc>
          <w:tcPr>
            <w:tcW w:type="dxa" w:w="243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Role</w:t>
            </w:r>
          </w:p>
        </w:tc>
        <w:tc>
          <w:tcPr>
            <w:tcW w:type="dxa" w:w="692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Responsibility</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Executive sponsor</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Links the program to business priorities and removes barriers</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Program owner</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Coordinates participants, access, timing and follow-through</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ADelier learning lead</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Designs and facilitates the experience</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ADelier subject expert</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Provides marketplace or AI expertise and feedback</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Manager or champion</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Reinforces the workflow after training and reviews application</w:t>
            </w:r>
          </w:p>
        </w:tc>
      </w:tr>
      <w:tr>
        <w:trPr>
          <w:cantSplit/>
          <w:tblHeader w:val="false"/>
        </w:trPr>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Participant</w:t>
            </w:r>
          </w:p>
        </w:tc>
        <w:tc>
          <w:tcPr>
            <w:tcW w:type="dxa" w:w="692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Completes preparation, applies the method and owns the next action</w:t>
            </w:r>
          </w:p>
        </w:tc>
      </w:tr>
    </w:tbl>
    <w:p>
      <w:pPr>
        <w:spacing w:after="160" w:before="0"/>
      </w:pPr>
    </w:p>
    <w:p>
      <w:pPr>
        <w:pStyle w:val="Heading3"/>
        <w:keepNext/>
        <w:keepLines/>
        <w:widowControl/>
      </w:pPr>
      <w:r>
        <w:rPr>
          <w:rFonts w:ascii="Inter" w:hAnsi="Inter" w:eastAsia="Inter" w:cs="Inter"/>
          <w:color w:val="315BFF"/>
        </w:rPr>
        <w:t xml:space="preserve">When to introduce ADelier Academy</w:t>
      </w:r>
    </w:p>
    <w:p>
      <w:pPr>
        <w:spacing w:after="140"/>
      </w:pPr>
      <w:r>
        <w:rPr>
          <w:rFonts w:ascii="Inter" w:hAnsi="Inter" w:eastAsia="Inter" w:cs="Inter"/>
          <w:color w:val="101828"/>
        </w:rPr>
        <w:t>Do not launch a separate ADelier Academy sub-brand yet. Use "Training" in navigation and Training and Team Enablement as the formal service family. Consider ADelier Academy only once there is a standardized curriculum, multiple facilitators, repeat cohorts, quality assurance, certification and enough demand to justify a distinct learning experience.</w:t>
      </w: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04</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Templates</w:t>
      </w:r>
    </w:p>
    <w:p>
      <w:pPr>
        <w:pBdr>
          <w:bottom w:val="single" w:color="3FAF8F" w:sz="18" w:space="1"/>
        </w:pBdr>
        <w:spacing w:after="300"/>
        <w:ind w:right="7200"/>
      </w:pPr>
    </w:p>
    <w:p>
      <w:pPr>
        <w:spacing w:after="400" w:line="380"/>
      </w:pPr>
      <w:r>
        <w:rPr>
          <w:rFonts w:ascii="Inter" w:hAnsi="Inter" w:eastAsia="Inter" w:cs="Inter"/>
          <w:color w:val="101828"/>
        </w:rPr>
        <w:t>Ready-to-use working documents. All templates inherit the type, color, spacing, table, focus-frame, multilingual and callout rules of the Brand Book: Manrope for display and H1/H2, Inter for working text, diagnostic questions and data, and Source Serif 4 Italic only for selective editorial accents.</w:t>
      </w:r>
    </w:p>
    <w:p>
      <w:pPr>
        <w:keepNext/>
        <w:spacing w:after="40" w:before="360"/>
      </w:pPr>
      <w:r>
        <w:rPr>
          <w:rFonts w:ascii="Inter" w:hAnsi="Inter" w:eastAsia="Inter" w:cs="Inter"/>
          <w:b/>
          <w:bCs/>
          <w:color w:val="315BFF"/>
          <w:spacing w:val="20"/>
          <w:sz w:val="16"/>
          <w:szCs w:val="16"/>
        </w:rPr>
        <w:t xml:space="preserve">TEMPLATE A</w:t>
      </w:r>
    </w:p>
    <w:p>
      <w:pPr>
        <w:pStyle w:val="Heading2"/>
        <w:keepNext/>
        <w:keepLines/>
        <w:widowControl/>
        <w:spacing w:before="0"/>
      </w:pPr>
      <w:r>
        <w:rPr>
          <w:rFonts w:ascii="Manrope" w:hAnsi="Manrope" w:eastAsia="Manrope" w:cs="Manrope"/>
          <w:color w:val="101828"/>
        </w:rPr>
        <w:t xml:space="preserve">Marketplace Growth Diagnostic</w:t>
      </w:r>
    </w:p>
    <w:p>
      <w:pPr>
        <w:pStyle w:val="Heading3"/>
        <w:keepNext/>
        <w:keepLines/>
        <w:widowControl/>
      </w:pPr>
      <w:r>
        <w:rPr>
          <w:rFonts w:ascii="Inter" w:hAnsi="Inter" w:eastAsia="Inter" w:cs="Inter"/>
          <w:color w:val="315BFF"/>
        </w:rPr>
        <w:t xml:space="preserve">1. Executive conclusion</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3744"/>
        <w:gridCol w:w="5616"/>
      </w:tblGrid>
      <w:tr>
        <w:trPr>
          <w:cantSplit/>
          <w:tblHeader w:val="true"/>
        </w:trPr>
        <w:tc>
          <w:tcPr>
            <w:tcW w:type="dxa" w:w="374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Prompt</w:t>
            </w:r>
          </w:p>
        </w:tc>
        <w:tc>
          <w:tcPr>
            <w:tcW w:type="dxa" w:w="561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Entry</w:t>
            </w: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The primary issue appears to be</w:t>
            </w:r>
          </w:p>
        </w:tc>
        <w:tc>
          <w:tcPr>
            <w:tcW w:type="dxa" w:w="5616"/>
            <w:tcMar>
              <w:top w:type="dxa" w:w="80"/>
              <w:left w:type="dxa" w:w="120"/>
              <w:bottom w:type="dxa" w:w="80"/>
              <w:right w:type="dxa" w:w="120"/>
              <w:start w:w="100" w:type="dxa"/>
              <w:end w:w="100" w:type="dxa"/>
            </w:tcMar>
            <w:vAlign w:val="center"/>
          </w:tcPr>
          <w:p>
            <w:pPr>
              <w:spacing w:after="40"/>
            </w:pP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The evidence supporting this conclusion is</w:t>
            </w:r>
          </w:p>
        </w:tc>
        <w:tc>
          <w:tcPr>
            <w:tcW w:type="dxa" w:w="5616"/>
            <w:tcMar>
              <w:top w:type="dxa" w:w="80"/>
              <w:left w:type="dxa" w:w="120"/>
              <w:bottom w:type="dxa" w:w="80"/>
              <w:right w:type="dxa" w:w="120"/>
              <w:start w:w="100" w:type="dxa"/>
              <w:end w:w="100" w:type="dxa"/>
            </w:tcMar>
            <w:vAlign w:val="center"/>
          </w:tcPr>
          <w:p>
            <w:pPr>
              <w:spacing w:after="40"/>
            </w:pP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The most valuable next action is</w:t>
            </w:r>
          </w:p>
        </w:tc>
        <w:tc>
          <w:tcPr>
            <w:tcW w:type="dxa" w:w="5616"/>
            <w:tcMar>
              <w:top w:type="dxa" w:w="80"/>
              <w:left w:type="dxa" w:w="120"/>
              <w:bottom w:type="dxa" w:w="80"/>
              <w:right w:type="dxa" w:w="120"/>
              <w:start w:w="100" w:type="dxa"/>
              <w:end w:w="100" w:type="dxa"/>
            </w:tcMar>
            <w:vAlign w:val="center"/>
          </w:tcPr>
          <w:p>
            <w:pPr>
              <w:spacing w:after="40"/>
            </w:pP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The main uncertainty is</w:t>
            </w:r>
          </w:p>
        </w:tc>
        <w:tc>
          <w:tcPr>
            <w:tcW w:type="dxa" w:w="5616"/>
            <w:tcMar>
              <w:top w:type="dxa" w:w="80"/>
              <w:left w:type="dxa" w:w="120"/>
              <w:bottom w:type="dxa" w:w="80"/>
              <w:right w:type="dxa" w:w="120"/>
              <w:start w:w="100" w:type="dxa"/>
              <w:end w:w="100" w:type="dxa"/>
            </w:tcMar>
            <w:vAlign w:val="center"/>
          </w:tcPr>
          <w:p>
            <w:pPr>
              <w:spacing w:after="40"/>
            </w:pP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The owner and decision date are</w:t>
            </w:r>
          </w:p>
        </w:tc>
        <w:tc>
          <w:tcPr>
            <w:tcW w:type="dxa" w:w="5616"/>
            <w:tcMar>
              <w:top w:type="dxa" w:w="80"/>
              <w:left w:type="dxa" w:w="120"/>
              <w:bottom w:type="dxa" w:w="80"/>
              <w:right w:type="dxa" w:w="120"/>
              <w:start w:w="100" w:type="dxa"/>
              <w:end w:w="100" w:type="dxa"/>
            </w:tcMar>
            <w:vAlign w:val="center"/>
          </w:tcPr>
          <w:p>
            <w:pPr>
              <w:spacing w:after="40"/>
            </w:pPr>
          </w:p>
        </w:tc>
      </w:tr>
    </w:tbl>
    <w:p>
      <w:pPr>
        <w:spacing w:after="160" w:before="0"/>
      </w:pPr>
    </w:p>
    <w:p>
      <w:pPr>
        <w:pStyle w:val="Heading3"/>
        <w:keepNext/>
        <w:keepLines/>
        <w:widowControl/>
      </w:pPr>
      <w:r>
        <w:rPr>
          <w:rFonts w:ascii="Inter" w:hAnsi="Inter" w:eastAsia="Inter" w:cs="Inter"/>
          <w:color w:val="315BFF"/>
        </w:rPr>
        <w:t xml:space="preserve">2. Product and commercial context</w:t>
      </w:r>
    </w:p>
    <w:p>
      <w:pPr>
        <w:spacing w:after="140"/>
      </w:pPr>
      <w:r>
        <w:rPr>
          <w:rFonts w:ascii="Inter" w:hAnsi="Inter" w:eastAsia="Inter" w:cs="Inter"/>
          <w:color w:val="101828"/>
        </w:rPr>
        <w:t xml:space="preserve">Product and category; priority market and shopper; current reason to choose; price and offer context; rating, review, inventory and fulfillment context; business objective.</w:t>
      </w:r>
    </w:p>
    <w:p>
      <w:pPr>
        <w:pStyle w:val="Heading3"/>
        <w:keepNext/>
        <w:keepLines/>
        <w:widowControl/>
      </w:pPr>
      <w:r>
        <w:rPr>
          <w:rFonts w:ascii="Inter" w:hAnsi="Inter" w:eastAsia="Inter" w:cs="Inter"/>
          <w:color w:val="315BFF"/>
        </w:rPr>
        <w:t xml:space="preserve">3. Shopper decision</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5616"/>
        <w:gridCol w:w="3744"/>
      </w:tblGrid>
      <w:tr>
        <w:trPr>
          <w:cantSplit/>
          <w:tblHeader w:val="true"/>
        </w:trPr>
        <w:tc>
          <w:tcPr>
            <w:tcW w:type="dxa" w:w="561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Question</w:t>
            </w:r>
          </w:p>
        </w:tc>
        <w:tc>
          <w:tcPr>
            <w:tcW w:type="dxa" w:w="374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Assessment and evidence</w:t>
            </w:r>
          </w:p>
        </w:tc>
      </w:tr>
      <w:tr>
        <w:trPr>
          <w:cantSplit/>
          <w:tblHeader w:val="false"/>
        </w:trPr>
        <w:tc>
          <w:tcPr>
            <w:tcW w:type="dxa" w:w="561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Can the intended shopper identify the product and use case quickly?</w:t>
            </w:r>
          </w:p>
        </w:tc>
        <w:tc>
          <w:tcPr>
            <w:tcW w:type="dxa" w:w="3744"/>
            <w:tcMar>
              <w:top w:type="dxa" w:w="80"/>
              <w:left w:type="dxa" w:w="120"/>
              <w:bottom w:type="dxa" w:w="80"/>
              <w:right w:type="dxa" w:w="120"/>
              <w:start w:w="100" w:type="dxa"/>
              <w:end w:w="100" w:type="dxa"/>
            </w:tcMar>
            <w:vAlign w:val="center"/>
          </w:tcPr>
          <w:p>
            <w:pPr>
              <w:spacing w:after="40"/>
            </w:pPr>
          </w:p>
        </w:tc>
      </w:tr>
      <w:tr>
        <w:trPr>
          <w:cantSplit/>
          <w:tblHeader w:val="false"/>
        </w:trPr>
        <w:tc>
          <w:tcPr>
            <w:tcW w:type="dxa" w:w="561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Is the primary reason to choose distinctive and credible?</w:t>
            </w:r>
          </w:p>
        </w:tc>
        <w:tc>
          <w:tcPr>
            <w:tcW w:type="dxa" w:w="3744"/>
            <w:tcMar>
              <w:top w:type="dxa" w:w="80"/>
              <w:left w:type="dxa" w:w="120"/>
              <w:bottom w:type="dxa" w:w="80"/>
              <w:right w:type="dxa" w:w="120"/>
              <w:start w:w="100" w:type="dxa"/>
              <w:end w:w="100" w:type="dxa"/>
            </w:tcMar>
            <w:vAlign w:val="center"/>
          </w:tcPr>
          <w:p>
            <w:pPr>
              <w:spacing w:after="40"/>
            </w:pPr>
          </w:p>
        </w:tc>
      </w:tr>
      <w:tr>
        <w:trPr>
          <w:cantSplit/>
          <w:tblHeader w:val="false"/>
        </w:trPr>
        <w:tc>
          <w:tcPr>
            <w:tcW w:type="dxa" w:w="561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Are the most important objections answered visibly?</w:t>
            </w:r>
          </w:p>
        </w:tc>
        <w:tc>
          <w:tcPr>
            <w:tcW w:type="dxa" w:w="3744"/>
            <w:tcMar>
              <w:top w:type="dxa" w:w="80"/>
              <w:left w:type="dxa" w:w="120"/>
              <w:bottom w:type="dxa" w:w="80"/>
              <w:right w:type="dxa" w:w="120"/>
              <w:start w:w="100" w:type="dxa"/>
              <w:end w:w="100" w:type="dxa"/>
            </w:tcMar>
            <w:vAlign w:val="center"/>
          </w:tcPr>
          <w:p>
            <w:pPr>
              <w:spacing w:after="40"/>
            </w:pPr>
          </w:p>
        </w:tc>
      </w:tr>
      <w:tr>
        <w:trPr>
          <w:cantSplit/>
          <w:tblHeader w:val="false"/>
        </w:trPr>
        <w:tc>
          <w:tcPr>
            <w:tcW w:type="dxa" w:w="561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Is proof organized around the claim?</w:t>
            </w:r>
          </w:p>
        </w:tc>
        <w:tc>
          <w:tcPr>
            <w:tcW w:type="dxa" w:w="3744"/>
            <w:tcMar>
              <w:top w:type="dxa" w:w="80"/>
              <w:left w:type="dxa" w:w="120"/>
              <w:bottom w:type="dxa" w:w="80"/>
              <w:right w:type="dxa" w:w="120"/>
              <w:start w:w="100" w:type="dxa"/>
              <w:end w:w="100" w:type="dxa"/>
            </w:tcMar>
            <w:vAlign w:val="center"/>
          </w:tcPr>
          <w:p>
            <w:pPr>
              <w:spacing w:after="40"/>
            </w:pPr>
          </w:p>
        </w:tc>
      </w:tr>
      <w:tr>
        <w:trPr>
          <w:cantSplit/>
          <w:tblHeader w:val="false"/>
        </w:trPr>
        <w:tc>
          <w:tcPr>
            <w:tcW w:type="dxa" w:w="561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Does the page make comparison easier?</w:t>
            </w:r>
          </w:p>
        </w:tc>
        <w:tc>
          <w:tcPr>
            <w:tcW w:type="dxa" w:w="3744"/>
            <w:tcMar>
              <w:top w:type="dxa" w:w="80"/>
              <w:left w:type="dxa" w:w="120"/>
              <w:bottom w:type="dxa" w:w="80"/>
              <w:right w:type="dxa" w:w="120"/>
              <w:start w:w="100" w:type="dxa"/>
              <w:end w:w="100" w:type="dxa"/>
            </w:tcMar>
            <w:vAlign w:val="center"/>
          </w:tcPr>
          <w:p>
            <w:pPr>
              <w:spacing w:after="40"/>
            </w:pPr>
          </w:p>
        </w:tc>
      </w:tr>
    </w:tbl>
    <w:p>
      <w:pPr>
        <w:spacing w:after="160" w:before="0"/>
      </w:pPr>
    </w:p>
    <w:p>
      <w:pPr>
        <w:pStyle w:val="Heading3"/>
        <w:keepNext/>
        <w:keepLines/>
        <w:widowControl/>
      </w:pPr>
      <w:r>
        <w:rPr>
          <w:rFonts w:ascii="Inter" w:hAnsi="Inter" w:eastAsia="Inter" w:cs="Inter"/>
          <w:color w:val="315BFF"/>
        </w:rPr>
        <w:t xml:space="preserve">4. Marketplace experience</w:t>
      </w:r>
    </w:p>
    <w:p>
      <w:pPr>
        <w:spacing w:after="140"/>
      </w:pPr>
      <w:r>
        <w:rPr>
          <w:rFonts w:ascii="Inter" w:hAnsi="Inter" w:eastAsia="Inter" w:cs="Inter"/>
          <w:color w:val="101828"/>
        </w:rPr>
        <w:t xml:space="preserve">Review discoverability and keyword relevance; title, bullets and description; image sequence; A+ Content and brand store where relevant; variants and portfolio navigation; review themes and questions; competitor positions and creative patterns; price, promotion, availability and delivery promise; and advertising and traffic context where accessible.</w:t>
      </w:r>
    </w:p>
    <w:p>
      <w:pPr>
        <w:pStyle w:val="Heading3"/>
        <w:keepNext/>
        <w:keepLines/>
        <w:widowControl/>
      </w:pPr>
      <w:r>
        <w:rPr>
          <w:rFonts w:ascii="Inter" w:hAnsi="Inter" w:eastAsia="Inter" w:cs="Inter"/>
          <w:color w:val="315BFF"/>
        </w:rPr>
        <w:t xml:space="preserve">5. Operating capability</w:t>
      </w:r>
    </w:p>
    <w:p>
      <w:pPr>
        <w:spacing w:after="140"/>
      </w:pPr>
      <w:r>
        <w:rPr>
          <w:rFonts w:ascii="Inter" w:hAnsi="Inter" w:eastAsia="Inter" w:cs="Inter"/>
          <w:color w:val="101828"/>
        </w:rPr>
        <w:t xml:space="preserve">Who owns the listing and approval? How long does an update take? Where does rework occur? What quality standard is used? How is AI currently used? What should the team own in the future?</w:t>
      </w:r>
    </w:p>
    <w:p>
      <w:pPr>
        <w:pStyle w:val="Heading3"/>
        <w:keepNext/>
        <w:keepLines/>
        <w:widowControl/>
      </w:pPr>
      <w:r>
        <w:rPr>
          <w:rFonts w:ascii="Inter" w:hAnsi="Inter" w:eastAsia="Inter" w:cs="Inter"/>
          <w:color w:val="315BFF"/>
        </w:rPr>
        <w:t xml:space="preserve">6. Opportunity map</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3182"/>
        <w:gridCol w:w="1498"/>
        <w:gridCol w:w="1498"/>
        <w:gridCol w:w="1498"/>
        <w:gridCol w:w="1684"/>
      </w:tblGrid>
      <w:tr>
        <w:trPr>
          <w:cantSplit/>
          <w:tblHeader w:val="true"/>
        </w:trPr>
        <w:tc>
          <w:tcPr>
            <w:tcW w:type="dxa" w:w="318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Opportunity</w:t>
            </w:r>
          </w:p>
        </w:tc>
        <w:tc>
          <w:tcPr>
            <w:tcW w:type="dxa" w:w="149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Impact</w:t>
            </w:r>
          </w:p>
        </w:tc>
        <w:tc>
          <w:tcPr>
            <w:tcW w:type="dxa" w:w="149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Confidence</w:t>
            </w:r>
          </w:p>
        </w:tc>
        <w:tc>
          <w:tcPr>
            <w:tcW w:type="dxa" w:w="149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Effort</w:t>
            </w:r>
          </w:p>
        </w:tc>
        <w:tc>
          <w:tcPr>
            <w:tcW w:type="dxa" w:w="168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Timing</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p>
        </w:tc>
        <w:tc>
          <w:tcPr>
            <w:tcW w:type="dxa" w:w="149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High / Medium / Low</w:t>
            </w:r>
          </w:p>
        </w:tc>
        <w:tc>
          <w:tcPr>
            <w:tcW w:type="dxa" w:w="149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High / Medium / Low</w:t>
            </w:r>
          </w:p>
        </w:tc>
        <w:tc>
          <w:tcPr>
            <w:tcW w:type="dxa" w:w="149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High / Medium / Low</w:t>
            </w:r>
          </w:p>
        </w:tc>
        <w:tc>
          <w:tcPr>
            <w:tcW w:type="dxa" w:w="168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Now / Next / Later</w:t>
            </w:r>
          </w:p>
        </w:tc>
      </w:tr>
    </w:tbl>
    <w:p>
      <w:pPr>
        <w:spacing w:after="160" w:before="0"/>
      </w:pPr>
    </w:p>
    <w:p>
      <w:pPr>
        <w:pStyle w:val="Heading3"/>
        <w:keepNext/>
        <w:keepLines/>
        <w:widowControl/>
      </w:pPr>
      <w:r>
        <w:rPr>
          <w:rFonts w:ascii="Inter" w:hAnsi="Inter" w:eastAsia="Inter" w:cs="Inter"/>
          <w:color w:val="315BFF"/>
        </w:rPr>
        <w:t xml:space="preserve">7. Recommended pathway</w:t>
      </w:r>
    </w:p>
    <w:p>
      <w:pPr>
        <w:spacing w:after="140"/>
      </w:pPr>
      <w:r>
        <w:rPr>
          <w:rFonts w:ascii="Inter" w:hAnsi="Inter" w:eastAsia="Inter" w:cs="Inter"/>
          <w:color w:val="101828"/>
        </w:rPr>
        <w:t xml:space="preserve">Delivery mode (Delivers, Co-builds or Enables); offer; scope; success measure; decision owner; next review.</w:t>
      </w:r>
    </w:p>
    <w:p>
      <w:pPr>
        <w:keepNext/>
        <w:spacing w:after="40" w:before="360"/>
      </w:pPr>
      <w:r>
        <w:rPr>
          <w:rFonts w:ascii="Inter" w:hAnsi="Inter" w:eastAsia="Inter" w:cs="Inter"/>
          <w:b/>
          <w:bCs/>
          <w:color w:val="315BFF"/>
          <w:spacing w:val="20"/>
          <w:sz w:val="16"/>
          <w:szCs w:val="16"/>
        </w:rPr>
        <w:t xml:space="preserve">TEMPLATE B</w:t>
      </w:r>
    </w:p>
    <w:p>
      <w:pPr>
        <w:pStyle w:val="Heading2"/>
        <w:keepNext/>
        <w:keepLines/>
        <w:widowControl/>
        <w:spacing w:before="0"/>
      </w:pPr>
      <w:r>
        <w:rPr>
          <w:rFonts w:ascii="Manrope" w:hAnsi="Manrope" w:eastAsia="Manrope" w:cs="Manrope"/>
          <w:color w:val="101828"/>
        </w:rPr>
        <w:t xml:space="preserve">Training program outlines</w:t>
      </w:r>
    </w:p>
    <w:p>
      <w:pPr>
        <w:pStyle w:val="Heading3"/>
        <w:keepNext/>
        <w:keepLines/>
        <w:widowControl/>
      </w:pPr>
      <w:r>
        <w:rPr>
          <w:rFonts w:ascii="Inter" w:hAnsi="Inter" w:eastAsia="Inter" w:cs="Inter"/>
          <w:color w:val="315BFF"/>
        </w:rPr>
        <w:t>Program 1: Amazon Conversion Foundations (standalone launch program)</w:t>
      </w:r>
    </w:p>
    <w:p>
      <w:pPr>
        <w:pStyle w:val="ListParagraph"/>
        <w:numPr>
          <w:ilvl w:val="0"/>
          <w:numId w:val="3"/>
        </w:numPr>
        <w:spacing w:after="60"/>
      </w:pPr>
      <w:r>
        <w:rPr>
          <w:rFonts w:ascii="Inter" w:hAnsi="Inter" w:eastAsia="Inter" w:cs="Inter"/>
          <w:b/>
          <w:bCs/>
          <w:color w:val="101828"/>
        </w:rPr>
        <w:t>Audience: available in two editions - agency account, content and marketplace teams; or brand, e-commerce, content and marketplace teams responsible for Amazon product pages.</w:t>
      </w:r>
      <w:r>
        <w:rPr>
          <w:rFonts w:ascii="Inter" w:hAnsi="Inter" w:eastAsia="Inter" w:cs="Inter"/>
          <w:color w:val="101828"/>
        </w:rPr>
      </w:r>
    </w:p>
    <w:p>
      <w:pPr>
        <w:pStyle w:val="ListParagraph"/>
        <w:numPr>
          <w:ilvl w:val="0"/>
          <w:numId w:val="3"/>
        </w:numPr>
        <w:spacing w:after="60"/>
      </w:pPr>
      <w:r>
        <w:rPr>
          <w:rFonts w:ascii="Inter" w:hAnsi="Inter" w:eastAsia="Inter" w:cs="Inter"/>
          <w:b/>
          <w:bCs/>
          <w:color w:val="101828"/>
        </w:rPr>
        <w:t xml:space="preserve">Business problem:</w:t>
      </w:r>
      <w:r>
        <w:rPr>
          <w:rFonts w:ascii="Inter" w:hAnsi="Inter" w:eastAsia="Inter" w:cs="Inter"/>
          <w:color w:val="101828"/>
        </w:rPr>
        <w:t xml:space="preserve"> the team produces or reviews listings without a shared understanding of shopper choice, message hierarchy and conversion quality.</w:t>
      </w:r>
    </w:p>
    <w:p>
      <w:pPr>
        <w:pStyle w:val="ListParagraph"/>
        <w:numPr>
          <w:ilvl w:val="0"/>
          <w:numId w:val="3"/>
        </w:numPr>
        <w:spacing w:after="60"/>
      </w:pPr>
      <w:r>
        <w:rPr>
          <w:rFonts w:ascii="Inter" w:hAnsi="Inter" w:eastAsia="Inter" w:cs="Inter"/>
          <w:b/>
          <w:bCs/>
          <w:color w:val="101828"/>
        </w:rPr>
        <w:t xml:space="preserve">Applied outcomes:</w:t>
      </w:r>
      <w:r>
        <w:rPr>
          <w:rFonts w:ascii="Inter" w:hAnsi="Inter" w:eastAsia="Inter" w:cs="Inter"/>
          <w:color w:val="101828"/>
        </w:rPr>
        <w:t xml:space="preserve"> diagnose a product page with the ADelier quality rubric; identify the intended shopper, use case, reason to choose and objections; structure title, bullets, image sequence and A+ Content around the decision; write a prioritized improvement brief for a live ASIN; agree the internal review and approval process.</w:t>
      </w:r>
    </w:p>
    <w:p>
      <w:pPr>
        <w:pStyle w:val="ListParagraph"/>
        <w:numPr>
          <w:ilvl w:val="0"/>
          <w:numId w:val="3"/>
        </w:numPr>
        <w:spacing w:after="60"/>
      </w:pPr>
      <w:r>
        <w:rPr>
          <w:rFonts w:ascii="Inter" w:hAnsi="Inter" w:eastAsia="Inter" w:cs="Inter"/>
          <w:b/>
          <w:bCs/>
          <w:color w:val="101828"/>
        </w:rPr>
        <w:t xml:space="preserve">Participant outputs:</w:t>
      </w:r>
      <w:r>
        <w:rPr>
          <w:rFonts w:ascii="Inter" w:hAnsi="Inter" w:eastAsia="Inter" w:cs="Inter"/>
          <w:color w:val="101828"/>
        </w:rPr>
        <w:t xml:space="preserve"> completed ASIN diagnosis, revised message hierarchy, image-sequence brief, listing quality checklist and 30-day action plan.</w:t>
      </w:r>
    </w:p>
    <w:p>
      <w:pPr>
        <w:pStyle w:val="ListParagraph"/>
        <w:numPr>
          <w:ilvl w:val="0"/>
          <w:numId w:val="3"/>
        </w:numPr>
        <w:spacing w:after="60"/>
      </w:pPr>
      <w:r>
        <w:rPr>
          <w:rFonts w:ascii="Inter" w:hAnsi="Inter" w:eastAsia="Inter" w:cs="Inter"/>
          <w:color w:val="101828"/>
        </w:rPr>
        <w:t>Commercial form: fixed private-program fee.</w:t>
      </w:r>
    </w:p>
    <w:p>
      <w:pPr>
        <w:pStyle w:val="ListParagraph"/>
        <w:numPr>
          <w:ilvl w:val="0"/>
          <w:numId w:val="3"/>
        </w:numPr>
        <w:spacing w:after="60"/>
      </w:pPr>
      <w:r>
        <w:rPr>
          <w:rFonts w:ascii="Inter" w:hAnsi="Inter" w:eastAsia="Inter" w:cs="Inter"/>
          <w:color w:val="101828"/>
        </w:rPr>
        <w:t>Prerequisite: selected live ASINs and a named program owner.</w:t>
      </w:r>
    </w:p>
    <w:p>
      <w:pPr>
        <w:pStyle w:val="ListParagraph"/>
        <w:numPr>
          <w:ilvl w:val="0"/>
          <w:numId w:val="3"/>
        </w:numPr>
        <w:spacing w:after="60"/>
      </w:pPr>
      <w:r>
        <w:rPr>
          <w:rFonts w:ascii="Inter" w:hAnsi="Inter" w:eastAsia="Inter" w:cs="Inter"/>
          <w:color w:val="101828"/>
        </w:rPr>
        <w:t>Standard follow-through: 30-day applied review.</w:t>
      </w:r>
    </w:p>
    <w:p>
      <w:pPr>
        <w:pStyle w:val="ListParagraph"/>
        <w:numPr>
          <w:ilvl w:val="0"/>
          <w:numId w:val="3"/>
        </w:numPr>
        <w:spacing w:after="60"/>
      </w:pPr>
      <w:r>
        <w:rPr>
          <w:rFonts w:ascii="Inter" w:hAnsi="Inter" w:eastAsia="Inter" w:cs="Inter"/>
          <w:color w:val="101828"/>
        </w:rPr>
        <w:t>Not required: prior ADelier diagnostic or delivery engagement.</w:t>
      </w:r>
    </w:p>
    <w:p>
      <w:pPr>
        <w:spacing w:after="80" w:before="0"/>
      </w:pPr>
    </w:p>
    <w:p>
      <w:pPr>
        <w:pStyle w:val="Heading3"/>
        <w:keepNext/>
        <w:keepLines/>
        <w:widowControl/>
      </w:pPr>
      <w:r>
        <w:rPr>
          <w:rFonts w:ascii="Inter" w:hAnsi="Inter" w:eastAsia="Inter" w:cs="Inter"/>
          <w:color w:val="315BFF"/>
        </w:rPr>
        <w:t>Program 2: Agency Marketplace Enablement (standalone launch program)</w:t>
      </w:r>
    </w:p>
    <w:p>
      <w:pPr>
        <w:pStyle w:val="ListParagraph"/>
        <w:numPr>
          <w:ilvl w:val="0"/>
          <w:numId w:val="3"/>
        </w:numPr>
        <w:spacing w:after="60"/>
      </w:pPr>
      <w:r>
        <w:rPr>
          <w:rFonts w:ascii="Inter" w:hAnsi="Inter" w:eastAsia="Inter" w:cs="Inter"/>
          <w:b/>
          <w:bCs/>
          <w:color w:val="101828"/>
        </w:rPr>
        <w:t xml:space="preserve">Audience:</w:t>
      </w:r>
      <w:r>
        <w:rPr>
          <w:rFonts w:ascii="Inter" w:hAnsi="Inter" w:eastAsia="Inter" w:cs="Inter"/>
          <w:color w:val="101828"/>
        </w:rPr>
        <w:t xml:space="preserve"> agency founders, account leaders, strategists and delivery managers adding Amazon services.</w:t>
      </w:r>
    </w:p>
    <w:p>
      <w:pPr>
        <w:pStyle w:val="ListParagraph"/>
        <w:numPr>
          <w:ilvl w:val="0"/>
          <w:numId w:val="3"/>
        </w:numPr>
        <w:spacing w:after="60"/>
      </w:pPr>
      <w:r>
        <w:rPr>
          <w:rFonts w:ascii="Inter" w:hAnsi="Inter" w:eastAsia="Inter" w:cs="Inter"/>
          <w:b/>
          <w:bCs/>
          <w:color w:val="101828"/>
        </w:rPr>
        <w:t xml:space="preserve">Business problem:</w:t>
      </w:r>
      <w:r>
        <w:rPr>
          <w:rFonts w:ascii="Inter" w:hAnsi="Inter" w:eastAsia="Inter" w:cs="Inter"/>
          <w:color w:val="101828"/>
        </w:rPr>
        <w:t xml:space="preserve"> the agency sees client demand but lacks a clear offer, scoping model, quality standard and operating process.</w:t>
      </w:r>
    </w:p>
    <w:p>
      <w:pPr>
        <w:pStyle w:val="ListParagraph"/>
        <w:numPr>
          <w:ilvl w:val="0"/>
          <w:numId w:val="3"/>
        </w:numPr>
        <w:spacing w:after="60"/>
      </w:pPr>
      <w:r>
        <w:rPr>
          <w:rFonts w:ascii="Inter" w:hAnsi="Inter" w:eastAsia="Inter" w:cs="Inter"/>
          <w:b/>
          <w:bCs/>
          <w:color w:val="101828"/>
        </w:rPr>
        <w:t xml:space="preserve">Applied outcomes:</w:t>
      </w:r>
      <w:r>
        <w:rPr>
          <w:rFonts w:ascii="Inter" w:hAnsi="Inter" w:eastAsia="Inter" w:cs="Inter"/>
          <w:color w:val="101828"/>
        </w:rPr>
        <w:t xml:space="preserve"> define the Amazon service boundary; decide what to own, partner or train; build a diagnostic and proposal pathway; establish delivery roles and review gates; create pricing and change-control principles; launch a pilot client plan.</w:t>
      </w:r>
    </w:p>
    <w:p>
      <w:pPr>
        <w:pStyle w:val="ListParagraph"/>
        <w:numPr>
          <w:ilvl w:val="0"/>
          <w:numId w:val="3"/>
        </w:numPr>
        <w:spacing w:after="60"/>
      </w:pPr>
      <w:r>
        <w:rPr>
          <w:rFonts w:ascii="Inter" w:hAnsi="Inter" w:eastAsia="Inter" w:cs="Inter"/>
          <w:b/>
          <w:bCs/>
          <w:color w:val="101828"/>
        </w:rPr>
        <w:t xml:space="preserve">Participant outputs:</w:t>
      </w:r>
      <w:r>
        <w:rPr>
          <w:rFonts w:ascii="Inter" w:hAnsi="Inter" w:eastAsia="Inter" w:cs="Inter"/>
          <w:color w:val="101828"/>
        </w:rPr>
        <w:t xml:space="preserve"> offer architecture, qualification and scoping guide, quality rubric, delivery model, partner and internal role map, pilot account plan.</w:t>
      </w:r>
    </w:p>
    <w:p>
      <w:pPr>
        <w:pStyle w:val="ListParagraph"/>
        <w:numPr>
          <w:ilvl w:val="0"/>
          <w:numId w:val="3"/>
        </w:numPr>
        <w:spacing w:after="60"/>
      </w:pPr>
      <w:r>
        <w:rPr>
          <w:rFonts w:ascii="Inter" w:hAnsi="Inter" w:eastAsia="Inter" w:cs="Inter"/>
          <w:color w:val="101828"/>
        </w:rPr>
        <w:t>Commercial form: fixed program fee covering two leadership sessions, pilot support and final review.</w:t>
      </w:r>
    </w:p>
    <w:p>
      <w:pPr>
        <w:pStyle w:val="ListParagraph"/>
        <w:numPr>
          <w:ilvl w:val="0"/>
          <w:numId w:val="3"/>
        </w:numPr>
        <w:spacing w:after="60"/>
      </w:pPr>
      <w:r>
        <w:rPr>
          <w:rFonts w:ascii="Inter" w:hAnsi="Inter" w:eastAsia="Inter" w:cs="Inter"/>
          <w:color w:val="101828"/>
        </w:rPr>
        <w:t>Prerequisite: leadership sponsor, one proposed pilot client or representative case, and access to existing agency processes.</w:t>
      </w:r>
    </w:p>
    <w:p>
      <w:pPr>
        <w:pStyle w:val="ListParagraph"/>
        <w:numPr>
          <w:ilvl w:val="0"/>
          <w:numId w:val="3"/>
        </w:numPr>
        <w:spacing w:after="60"/>
      </w:pPr>
      <w:r>
        <w:rPr>
          <w:rFonts w:ascii="Inter" w:hAnsi="Inter" w:eastAsia="Inter" w:cs="Inter"/>
          <w:color w:val="101828"/>
        </w:rPr>
        <w:t>Standard follow-through: pilot review and capability roadmap.</w:t>
      </w:r>
    </w:p>
    <w:p>
      <w:pPr>
        <w:pStyle w:val="ListParagraph"/>
        <w:numPr>
          <w:ilvl w:val="0"/>
          <w:numId w:val="3"/>
        </w:numPr>
        <w:spacing w:after="60"/>
      </w:pPr>
      <w:r>
        <w:rPr>
          <w:rFonts w:ascii="Inter" w:hAnsi="Inter" w:eastAsia="Inter" w:cs="Inter"/>
          <w:color w:val="101828"/>
        </w:rPr>
        <w:t>Not required: existing ADelier delivery relationship.</w:t>
      </w:r>
    </w:p>
    <w:p>
      <w:pPr>
        <w:spacing w:after="80" w:before="0"/>
      </w:pPr>
    </w:p>
    <w:p>
      <w:pPr>
        <w:pStyle w:val="Heading3"/>
        <w:keepNext/>
        <w:keepLines/>
        <w:widowControl/>
      </w:pPr>
      <w:r>
        <w:rPr>
          <w:rFonts w:ascii="Inter" w:hAnsi="Inter" w:eastAsia="Inter" w:cs="Inter"/>
          <w:color w:val="315BFF"/>
        </w:rPr>
        <w:t xml:space="preserve">Program 3: AI for Marketplace Teams (next wave)</w:t>
      </w:r>
    </w:p>
    <w:p>
      <w:pPr>
        <w:pStyle w:val="ListParagraph"/>
        <w:numPr>
          <w:ilvl w:val="0"/>
          <w:numId w:val="3"/>
        </w:numPr>
        <w:spacing w:after="60"/>
      </w:pPr>
      <w:r>
        <w:rPr>
          <w:rFonts w:ascii="Inter" w:hAnsi="Inter" w:eastAsia="Inter" w:cs="Inter"/>
          <w:b/>
          <w:bCs/>
          <w:color w:val="101828"/>
        </w:rPr>
        <w:t xml:space="preserve">Audience:</w:t>
      </w:r>
      <w:r>
        <w:rPr>
          <w:rFonts w:ascii="Inter" w:hAnsi="Inter" w:eastAsia="Inter" w:cs="Inter"/>
          <w:color w:val="101828"/>
        </w:rPr>
        <w:t xml:space="preserve"> marketing, e-commerce, agency and content teams already experimenting with generative AI.</w:t>
      </w:r>
    </w:p>
    <w:p>
      <w:pPr>
        <w:pStyle w:val="ListParagraph"/>
        <w:numPr>
          <w:ilvl w:val="0"/>
          <w:numId w:val="3"/>
        </w:numPr>
        <w:spacing w:after="60"/>
      </w:pPr>
      <w:r>
        <w:rPr>
          <w:rFonts w:ascii="Inter" w:hAnsi="Inter" w:eastAsia="Inter" w:cs="Inter"/>
          <w:b/>
          <w:bCs/>
          <w:color w:val="101828"/>
        </w:rPr>
        <w:t xml:space="preserve">Business problem:</w:t>
      </w:r>
      <w:r>
        <w:rPr>
          <w:rFonts w:ascii="Inter" w:hAnsi="Inter" w:eastAsia="Inter" w:cs="Inter"/>
          <w:color w:val="101828"/>
        </w:rPr>
        <w:t xml:space="preserve"> AI use is fragmented, output quality varies and expert reviewers spend too long correcting generic or unsupported work.</w:t>
      </w:r>
    </w:p>
    <w:p>
      <w:pPr>
        <w:pStyle w:val="ListParagraph"/>
        <w:numPr>
          <w:ilvl w:val="0"/>
          <w:numId w:val="3"/>
        </w:numPr>
        <w:spacing w:after="60"/>
      </w:pPr>
      <w:r>
        <w:rPr>
          <w:rFonts w:ascii="Inter" w:hAnsi="Inter" w:eastAsia="Inter" w:cs="Inter"/>
          <w:b/>
          <w:bCs/>
          <w:color w:val="101828"/>
        </w:rPr>
        <w:t xml:space="preserve">Applied outcomes:</w:t>
      </w:r>
      <w:r>
        <w:rPr>
          <w:rFonts w:ascii="Inter" w:hAnsi="Inter" w:eastAsia="Inter" w:cs="Inter"/>
          <w:color w:val="101828"/>
        </w:rPr>
        <w:t xml:space="preserve"> map the research-to-content workflow; assign human and AI roles by judgment, risk and repeatability; build a review-mining or competitor-analysis workflow; create prompt, source and evaluation standards; define data, claim and approval controls; pilot on selected products.</w:t>
      </w:r>
    </w:p>
    <w:p>
      <w:pPr>
        <w:pStyle w:val="ListParagraph"/>
        <w:numPr>
          <w:ilvl w:val="0"/>
          <w:numId w:val="3"/>
        </w:numPr>
        <w:spacing w:after="60"/>
      </w:pPr>
      <w:r>
        <w:rPr>
          <w:rFonts w:ascii="Inter" w:hAnsi="Inter" w:eastAsia="Inter" w:cs="Inter"/>
          <w:b/>
          <w:bCs/>
          <w:color w:val="101828"/>
        </w:rPr>
        <w:t xml:space="preserve">Participant outputs:</w:t>
      </w:r>
      <w:r>
        <w:rPr>
          <w:rFonts w:ascii="Inter" w:hAnsi="Inter" w:eastAsia="Inter" w:cs="Inter"/>
          <w:color w:val="101828"/>
        </w:rPr>
        <w:t xml:space="preserve"> current and future workflow map, approved use-case brief, prompt and source template, quality rubric, exception and review rules, pilot backlog and adoption measure.</w:t>
      </w:r>
    </w:p>
    <w:p>
      <w:pPr>
        <w:spacing w:after="80" w:before="0"/>
      </w:pPr>
    </w:p>
    <w:p>
      <w:pPr>
        <w:pStyle w:val="Heading3"/>
        <w:keepNext/>
        <w:keepLines/>
        <w:widowControl/>
      </w:pPr>
      <w:r>
        <w:rPr>
          <w:rFonts w:ascii="Inter" w:hAnsi="Inter" w:eastAsia="Inter" w:cs="Inter"/>
          <w:color w:val="315BFF"/>
        </w:rPr>
        <w:t xml:space="preserve">Program 4: Marketplace Positioning Lab (next wave)</w:t>
      </w:r>
    </w:p>
    <w:p>
      <w:pPr>
        <w:pStyle w:val="ListParagraph"/>
        <w:numPr>
          <w:ilvl w:val="0"/>
          <w:numId w:val="3"/>
        </w:numPr>
        <w:spacing w:after="60"/>
      </w:pPr>
      <w:r>
        <w:rPr>
          <w:rFonts w:ascii="Inter" w:hAnsi="Inter" w:eastAsia="Inter" w:cs="Inter"/>
          <w:b/>
          <w:bCs/>
          <w:color w:val="101828"/>
        </w:rPr>
        <w:t xml:space="preserve">Audience:</w:t>
      </w:r>
      <w:r>
        <w:rPr>
          <w:rFonts w:ascii="Inter" w:hAnsi="Inter" w:eastAsia="Inter" w:cs="Inter"/>
          <w:color w:val="101828"/>
        </w:rPr>
        <w:t xml:space="preserve"> brand, category, innovation, e-commerce and agency strategy teams.</w:t>
      </w:r>
    </w:p>
    <w:p>
      <w:pPr>
        <w:pStyle w:val="ListParagraph"/>
        <w:numPr>
          <w:ilvl w:val="0"/>
          <w:numId w:val="3"/>
        </w:numPr>
        <w:spacing w:after="60"/>
      </w:pPr>
      <w:r>
        <w:rPr>
          <w:rFonts w:ascii="Inter" w:hAnsi="Inter" w:eastAsia="Inter" w:cs="Inter"/>
          <w:b/>
          <w:bCs/>
          <w:color w:val="101828"/>
        </w:rPr>
        <w:t xml:space="preserve">Business problem:</w:t>
      </w:r>
      <w:r>
        <w:rPr>
          <w:rFonts w:ascii="Inter" w:hAnsi="Inter" w:eastAsia="Inter" w:cs="Inter"/>
          <w:color w:val="101828"/>
        </w:rPr>
        <w:t xml:space="preserve"> products have many features but no clear, differentiated and supportable reason for the target shopper to choose.</w:t>
      </w:r>
    </w:p>
    <w:p>
      <w:pPr>
        <w:pStyle w:val="ListParagraph"/>
        <w:numPr>
          <w:ilvl w:val="0"/>
          <w:numId w:val="3"/>
        </w:numPr>
        <w:spacing w:after="60"/>
      </w:pPr>
      <w:r>
        <w:rPr>
          <w:rFonts w:ascii="Inter" w:hAnsi="Inter" w:eastAsia="Inter" w:cs="Inter"/>
          <w:b/>
          <w:bCs/>
          <w:color w:val="101828"/>
        </w:rPr>
        <w:t xml:space="preserve">Applied outcomes:</w:t>
      </w:r>
      <w:r>
        <w:rPr>
          <w:rFonts w:ascii="Inter" w:hAnsi="Inter" w:eastAsia="Inter" w:cs="Inter"/>
          <w:color w:val="101828"/>
        </w:rPr>
        <w:t xml:space="preserve"> synthesize customer and competitor evidence; define target shopper and priority use case; choose the reason-to-buy hierarchy; map claims to proof and objections; convert the position into listing and creative direction; identify what must be validated.</w:t>
      </w:r>
    </w:p>
    <w:p>
      <w:pPr>
        <w:pStyle w:val="ListParagraph"/>
        <w:numPr>
          <w:ilvl w:val="0"/>
          <w:numId w:val="3"/>
        </w:numPr>
        <w:spacing w:after="60"/>
      </w:pPr>
      <w:r>
        <w:rPr>
          <w:rFonts w:ascii="Inter" w:hAnsi="Inter" w:eastAsia="Inter" w:cs="Inter"/>
          <w:b/>
          <w:bCs/>
          <w:color w:val="101828"/>
        </w:rPr>
        <w:t xml:space="preserve">Participant outputs:</w:t>
      </w:r>
      <w:r>
        <w:rPr>
          <w:rFonts w:ascii="Inter" w:hAnsi="Inter" w:eastAsia="Inter" w:cs="Inter"/>
          <w:color w:val="101828"/>
        </w:rPr>
        <w:t xml:space="preserve"> shopper and use-case statement, positioning options and decision criteria, approved position, claim and proof architecture, creative and listing implications, validation plan.</w:t>
      </w:r>
    </w:p>
    <w:p>
      <w:pPr>
        <w:spacing w:after="80" w:before="0"/>
      </w:pPr>
    </w:p>
    <w:p>
      <w:pPr>
        <w:keepNext/>
        <w:spacing w:after="40" w:before="360"/>
      </w:pPr>
      <w:r>
        <w:rPr>
          <w:rFonts w:ascii="Inter" w:hAnsi="Inter" w:eastAsia="Inter" w:cs="Inter"/>
          <w:b/>
          <w:bCs/>
          <w:color w:val="315BFF"/>
          <w:spacing w:val="20"/>
          <w:sz w:val="16"/>
          <w:szCs w:val="16"/>
        </w:rPr>
        <w:t xml:space="preserve">TEMPLATE C</w:t>
      </w:r>
    </w:p>
    <w:p>
      <w:pPr>
        <w:pStyle w:val="Heading2"/>
        <w:keepNext/>
        <w:keepLines/>
        <w:widowControl/>
        <w:spacing w:before="0"/>
      </w:pPr>
      <w:r>
        <w:rPr>
          <w:rFonts w:ascii="Manrope" w:hAnsi="Manrope" w:eastAsia="Manrope" w:cs="Manrope"/>
          <w:color w:val="101828"/>
        </w:rPr>
        <w:t xml:space="preserve">Case study</w:t>
      </w:r>
    </w:p>
    <w:p>
      <w:pPr>
        <w:pStyle w:val="ListParagraph"/>
        <w:numPr>
          <w:ilvl w:val="0"/>
          <w:numId w:val="3"/>
        </w:numPr>
        <w:spacing w:after="60"/>
      </w:pPr>
      <w:r>
        <w:rPr>
          <w:rFonts w:ascii="Inter" w:hAnsi="Inter" w:eastAsia="Inter" w:cs="Inter"/>
          <w:b/>
          <w:bCs/>
          <w:color w:val="101828"/>
        </w:rPr>
        <w:t xml:space="preserve">Headline:</w:t>
      </w:r>
      <w:r>
        <w:rPr>
          <w:rFonts w:ascii="Inter" w:hAnsi="Inter" w:eastAsia="Inter" w:cs="Inter"/>
          <w:color w:val="101828"/>
        </w:rPr>
        <w:t xml:space="preserve"> describe the customer, business problem and useful outcome. Avoid naming ADelier as the hero.</w:t>
      </w:r>
    </w:p>
    <w:p>
      <w:pPr>
        <w:pStyle w:val="ListParagraph"/>
        <w:numPr>
          <w:ilvl w:val="0"/>
          <w:numId w:val="3"/>
        </w:numPr>
        <w:spacing w:after="60"/>
      </w:pPr>
      <w:r>
        <w:rPr>
          <w:rFonts w:ascii="Inter" w:hAnsi="Inter" w:eastAsia="Inter" w:cs="Inter"/>
          <w:b/>
          <w:bCs/>
          <w:color w:val="101828"/>
        </w:rPr>
        <w:t xml:space="preserve">Summary:</w:t>
      </w:r>
      <w:r>
        <w:rPr>
          <w:rFonts w:ascii="Inter" w:hAnsi="Inter" w:eastAsia="Inter" w:cs="Inter"/>
          <w:color w:val="101828"/>
        </w:rPr>
        <w:t xml:space="preserve"> client type, category, marketplace, engagement, duration, primary result, capability transferred.</w:t>
      </w:r>
    </w:p>
    <w:p>
      <w:pPr>
        <w:pStyle w:val="ListParagraph"/>
        <w:numPr>
          <w:ilvl w:val="0"/>
          <w:numId w:val="3"/>
        </w:numPr>
        <w:spacing w:after="60"/>
      </w:pPr>
      <w:r>
        <w:rPr>
          <w:rFonts w:ascii="Inter" w:hAnsi="Inter" w:eastAsia="Inter" w:cs="Inter"/>
          <w:b/>
          <w:bCs/>
          <w:color w:val="101828"/>
        </w:rPr>
        <w:t xml:space="preserve">Situation:</w:t>
      </w:r>
      <w:r>
        <w:rPr>
          <w:rFonts w:ascii="Inter" w:hAnsi="Inter" w:eastAsia="Inter" w:cs="Inter"/>
          <w:color w:val="101828"/>
        </w:rPr>
        <w:t xml:space="preserve"> what triggered the work, and which outcomes and constraints mattered?</w:t>
      </w:r>
    </w:p>
    <w:p>
      <w:pPr>
        <w:pStyle w:val="ListParagraph"/>
        <w:numPr>
          <w:ilvl w:val="0"/>
          <w:numId w:val="3"/>
        </w:numPr>
        <w:spacing w:after="60"/>
      </w:pPr>
      <w:r>
        <w:rPr>
          <w:rFonts w:ascii="Inter" w:hAnsi="Inter" w:eastAsia="Inter" w:cs="Inter"/>
          <w:b/>
          <w:bCs/>
          <w:color w:val="101828"/>
        </w:rPr>
        <w:t xml:space="preserve">Baseline:</w:t>
      </w:r>
      <w:r>
        <w:rPr>
          <w:rFonts w:ascii="Inter" w:hAnsi="Inter" w:eastAsia="Inter" w:cs="Inter"/>
          <w:color w:val="101828"/>
        </w:rPr>
        <w:t xml:space="preserve"> what was happening before, including the metric, quality issue, cycle time or capability gap?</w:t>
      </w:r>
    </w:p>
    <w:p>
      <w:pPr>
        <w:pStyle w:val="ListParagraph"/>
        <w:numPr>
          <w:ilvl w:val="0"/>
          <w:numId w:val="3"/>
        </w:numPr>
        <w:spacing w:after="60"/>
      </w:pPr>
      <w:r>
        <w:rPr>
          <w:rFonts w:ascii="Inter" w:hAnsi="Inter" w:eastAsia="Inter" w:cs="Inter"/>
          <w:b/>
          <w:bCs/>
          <w:color w:val="101828"/>
        </w:rPr>
        <w:t xml:space="preserve">Diagnosis:</w:t>
      </w:r>
      <w:r>
        <w:rPr>
          <w:rFonts w:ascii="Inter" w:hAnsi="Inter" w:eastAsia="Inter" w:cs="Inter"/>
          <w:color w:val="101828"/>
        </w:rPr>
        <w:t xml:space="preserve"> what the evidence suggested was causing the problem, and which alternatives were considered.</w:t>
      </w:r>
    </w:p>
    <w:p>
      <w:pPr>
        <w:pStyle w:val="ListParagraph"/>
        <w:numPr>
          <w:ilvl w:val="0"/>
          <w:numId w:val="3"/>
        </w:numPr>
        <w:spacing w:after="60"/>
      </w:pPr>
      <w:r>
        <w:rPr>
          <w:rFonts w:ascii="Inter" w:hAnsi="Inter" w:eastAsia="Inter" w:cs="Inter"/>
          <w:b/>
          <w:bCs/>
          <w:color w:val="101828"/>
        </w:rPr>
        <w:t xml:space="preserve">Decision:</w:t>
      </w:r>
      <w:r>
        <w:rPr>
          <w:rFonts w:ascii="Inter" w:hAnsi="Inter" w:eastAsia="Inter" w:cs="Inter"/>
          <w:color w:val="101828"/>
        </w:rPr>
        <w:t xml:space="preserve"> what the client chose, and why.</w:t>
      </w:r>
    </w:p>
    <w:p>
      <w:pPr>
        <w:pStyle w:val="ListParagraph"/>
        <w:numPr>
          <w:ilvl w:val="0"/>
          <w:numId w:val="3"/>
        </w:numPr>
        <w:spacing w:after="60"/>
      </w:pPr>
      <w:r>
        <w:rPr>
          <w:rFonts w:ascii="Inter" w:hAnsi="Inter" w:eastAsia="Inter" w:cs="Inter"/>
          <w:b/>
          <w:bCs/>
          <w:color w:val="101828"/>
        </w:rPr>
        <w:t xml:space="preserve">Work completed:</w:t>
      </w:r>
      <w:r>
        <w:rPr>
          <w:rFonts w:ascii="Inter" w:hAnsi="Inter" w:eastAsia="Inter" w:cs="Inter"/>
          <w:color w:val="101828"/>
        </w:rPr>
        <w:t xml:space="preserve"> positioning or strategic decision; listing or creative assets; workflow or operating change; training or enablement; measurement and governance.</w:t>
      </w:r>
    </w:p>
    <w:p>
      <w:pPr>
        <w:pStyle w:val="ListParagraph"/>
        <w:numPr>
          <w:ilvl w:val="0"/>
          <w:numId w:val="3"/>
        </w:numPr>
        <w:spacing w:after="60"/>
      </w:pPr>
      <w:r>
        <w:rPr>
          <w:rFonts w:ascii="Inter" w:hAnsi="Inter" w:eastAsia="Inter" w:cs="Inter"/>
          <w:b/>
          <w:bCs/>
          <w:color w:val="101828"/>
        </w:rPr>
        <w:t xml:space="preserve">Result:</w:t>
      </w:r>
      <w:r>
        <w:rPr>
          <w:rFonts w:ascii="Inter" w:hAnsi="Inter" w:eastAsia="Inter" w:cs="Inter"/>
          <w:color w:val="101828"/>
        </w:rPr>
        <w:t xml:space="preserve"> the result with timeframe, source, context and attribution limits.</w:t>
      </w:r>
    </w:p>
    <w:p>
      <w:pPr>
        <w:pStyle w:val="ListParagraph"/>
        <w:numPr>
          <w:ilvl w:val="0"/>
          <w:numId w:val="3"/>
        </w:numPr>
        <w:spacing w:after="60"/>
      </w:pPr>
      <w:r>
        <w:rPr>
          <w:rFonts w:ascii="Inter" w:hAnsi="Inter" w:eastAsia="Inter" w:cs="Inter"/>
          <w:b/>
          <w:bCs/>
          <w:color w:val="101828"/>
        </w:rPr>
        <w:t xml:space="preserve">Capability outcome:</w:t>
      </w:r>
      <w:r>
        <w:rPr>
          <w:rFonts w:ascii="Inter" w:hAnsi="Inter" w:eastAsia="Inter" w:cs="Inter"/>
          <w:color w:val="101828"/>
        </w:rPr>
        <w:t xml:space="preserve"> what the client's team can now do differently or independently.</w:t>
      </w:r>
    </w:p>
    <w:p>
      <w:pPr>
        <w:pStyle w:val="ListParagraph"/>
        <w:numPr>
          <w:ilvl w:val="0"/>
          <w:numId w:val="3"/>
        </w:numPr>
        <w:spacing w:after="60"/>
      </w:pPr>
      <w:r>
        <w:rPr>
          <w:rFonts w:ascii="Inter" w:hAnsi="Inter" w:eastAsia="Inter" w:cs="Inter"/>
          <w:b/>
          <w:bCs/>
          <w:color w:val="101828"/>
        </w:rPr>
        <w:t xml:space="preserve">Client quotation:</w:t>
      </w:r>
      <w:r>
        <w:rPr>
          <w:rFonts w:ascii="Inter" w:hAnsi="Inter" w:eastAsia="Inter" w:cs="Inter"/>
          <w:color w:val="101828"/>
        </w:rPr>
        <w:t xml:space="preserve"> one that names a specific experience or benefit.</w:t>
      </w:r>
    </w:p>
    <w:p>
      <w:pPr>
        <w:spacing w:after="80" w:before="0"/>
      </w:pPr>
    </w:p>
    <w:p>
      <w:pPr>
        <w:pStyle w:val="Heading3"/>
        <w:keepNext/>
        <w:keepLines/>
        <w:widowControl/>
      </w:pPr>
      <w:r>
        <w:rPr>
          <w:rFonts w:ascii="Inter" w:hAnsi="Inter" w:eastAsia="Inter" w:cs="Inter"/>
          <w:color w:val="315BFF"/>
        </w:rPr>
        <w:t xml:space="preserve">Permission record</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3744"/>
        <w:gridCol w:w="5616"/>
      </w:tblGrid>
      <w:tr>
        <w:trPr>
          <w:cantSplit/>
          <w:tblHeader w:val="true"/>
        </w:trPr>
        <w:tc>
          <w:tcPr>
            <w:tcW w:type="dxa" w:w="374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Item</w:t>
            </w:r>
          </w:p>
        </w:tc>
        <w:tc>
          <w:tcPr>
            <w:tcW w:type="dxa" w:w="561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Entry</w:t>
            </w: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Client approval date</w:t>
            </w:r>
          </w:p>
        </w:tc>
        <w:tc>
          <w:tcPr>
            <w:tcW w:type="dxa" w:w="5616"/>
            <w:tcMar>
              <w:top w:type="dxa" w:w="80"/>
              <w:left w:type="dxa" w:w="120"/>
              <w:bottom w:type="dxa" w:w="80"/>
              <w:right w:type="dxa" w:w="120"/>
              <w:start w:w="100" w:type="dxa"/>
              <w:end w:w="100" w:type="dxa"/>
            </w:tcMar>
            <w:vAlign w:val="center"/>
          </w:tcPr>
          <w:p>
            <w:pPr>
              <w:spacing w:after="40"/>
            </w:pP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Approved naming level</w:t>
            </w:r>
          </w:p>
        </w:tc>
        <w:tc>
          <w:tcPr>
            <w:tcW w:type="dxa" w:w="5616"/>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Named / anonymized / private only</w:t>
            </w: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Approved screenshots</w:t>
            </w:r>
          </w:p>
        </w:tc>
        <w:tc>
          <w:tcPr>
            <w:tcW w:type="dxa" w:w="5616"/>
            <w:tcMar>
              <w:top w:type="dxa" w:w="80"/>
              <w:left w:type="dxa" w:w="120"/>
              <w:bottom w:type="dxa" w:w="80"/>
              <w:right w:type="dxa" w:w="120"/>
              <w:start w:w="100" w:type="dxa"/>
              <w:end w:w="100" w:type="dxa"/>
            </w:tcMar>
            <w:vAlign w:val="center"/>
          </w:tcPr>
          <w:p>
            <w:pPr>
              <w:spacing w:after="40"/>
            </w:pP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Approved metrics</w:t>
            </w:r>
          </w:p>
        </w:tc>
        <w:tc>
          <w:tcPr>
            <w:tcW w:type="dxa" w:w="5616"/>
            <w:tcMar>
              <w:top w:type="dxa" w:w="80"/>
              <w:left w:type="dxa" w:w="120"/>
              <w:bottom w:type="dxa" w:w="80"/>
              <w:right w:type="dxa" w:w="120"/>
              <w:start w:w="100" w:type="dxa"/>
              <w:end w:w="100" w:type="dxa"/>
            </w:tcMar>
            <w:vAlign w:val="center"/>
          </w:tcPr>
          <w:p>
            <w:pPr>
              <w:spacing w:after="40"/>
            </w:pPr>
          </w:p>
        </w:tc>
      </w:tr>
      <w:tr>
        <w:trPr>
          <w:cantSplit/>
          <w:tblHeader w:val="false"/>
        </w:trPr>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Expiry or review date</w:t>
            </w:r>
          </w:p>
        </w:tc>
        <w:tc>
          <w:tcPr>
            <w:tcW w:type="dxa" w:w="5616"/>
            <w:tcMar>
              <w:top w:type="dxa" w:w="80"/>
              <w:left w:type="dxa" w:w="120"/>
              <w:bottom w:type="dxa" w:w="80"/>
              <w:right w:type="dxa" w:w="120"/>
              <w:start w:w="100" w:type="dxa"/>
              <w:end w:w="100" w:type="dxa"/>
            </w:tcMar>
            <w:vAlign w:val="center"/>
          </w:tcPr>
          <w:p>
            <w:pPr>
              <w:spacing w:after="40"/>
            </w:pPr>
          </w:p>
        </w:tc>
      </w:tr>
    </w:tbl>
    <w:p>
      <w:pPr>
        <w:spacing w:after="160" w:before="0"/>
      </w:pPr>
    </w:p>
    <w:p>
      <w:pPr>
        <w:keepNext/>
        <w:spacing w:after="40" w:before="360"/>
      </w:pPr>
      <w:r>
        <w:rPr>
          <w:rFonts w:ascii="Inter" w:hAnsi="Inter" w:eastAsia="Inter" w:cs="Inter"/>
          <w:b/>
          <w:bCs/>
          <w:color w:val="315BFF"/>
          <w:spacing w:val="20"/>
          <w:sz w:val="16"/>
          <w:szCs w:val="16"/>
        </w:rPr>
        <w:t xml:space="preserve">TEMPLATE D</w:t>
      </w:r>
    </w:p>
    <w:p>
      <w:pPr>
        <w:pStyle w:val="Heading2"/>
        <w:keepNext/>
        <w:keepLines/>
        <w:widowControl/>
        <w:spacing w:before="0"/>
      </w:pPr>
      <w:r>
        <w:rPr>
          <w:rFonts w:ascii="Manrope" w:hAnsi="Manrope" w:eastAsia="Manrope" w:cs="Manrope"/>
          <w:color w:val="101828"/>
        </w:rPr>
        <w:t xml:space="preserve">Marketplace creative brief</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808"/>
        <w:gridCol w:w="6552"/>
      </w:tblGrid>
      <w:tr>
        <w:trPr>
          <w:cantSplit/>
          <w:tblHeader w:val="true"/>
        </w:trPr>
        <w:tc>
          <w:tcPr>
            <w:tcW w:type="dxa" w:w="280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Section</w:t>
            </w:r>
          </w:p>
        </w:tc>
        <w:tc>
          <w:tcPr>
            <w:tcW w:type="dxa" w:w="655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Fields</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Business objective</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Product or ASIN; marketplace and geography; business objective; priority metric; launch date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Shopper</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Primary shopper; priority use case; purchase trigger; main alternatives; primary objection; other questions that must be answered</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Position</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Core reason to choose; supporting benefits; required proof; claims permitted; claims prohibited or awaiting evidence; desired action</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Brand and execution</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Tone and vocabulary; product truth and visual restrictions; accessibility requirements; platform specifications; source files; reviewers and decision owner; review dates</w:t>
            </w:r>
          </w:p>
        </w:tc>
      </w:tr>
    </w:tbl>
    <w:p>
      <w:pPr>
        <w:spacing w:after="160" w:before="0"/>
      </w:pPr>
    </w:p>
    <w:p>
      <w:pPr>
        <w:pStyle w:val="Heading3"/>
        <w:keepNext/>
        <w:keepLines/>
        <w:widowControl/>
      </w:pPr>
      <w:r>
        <w:rPr>
          <w:rFonts w:ascii="Inter" w:hAnsi="Inter" w:eastAsia="Inter" w:cs="Inter"/>
          <w:color w:val="315BFF"/>
        </w:rPr>
        <w:t xml:space="preserve">Creative sequence</w:t>
      </w:r>
    </w:p>
    <w:p>
      <w:pPr>
        <w:pStyle w:val="ListParagraph"/>
        <w:numPr>
          <w:ilvl w:val="0"/>
          <w:numId w:val="5"/>
        </w:numPr>
        <w:spacing w:after="60"/>
      </w:pPr>
      <w:r>
        <w:rPr>
          <w:rFonts w:ascii="Inter" w:hAnsi="Inter" w:eastAsia="Inter" w:cs="Inter"/>
          <w:color w:val="101828"/>
        </w:rPr>
        <w:t xml:space="preserve">What is this, and is it for me?</w:t>
      </w:r>
    </w:p>
    <w:p>
      <w:pPr>
        <w:pStyle w:val="ListParagraph"/>
        <w:numPr>
          <w:ilvl w:val="0"/>
          <w:numId w:val="5"/>
        </w:numPr>
        <w:spacing w:after="60"/>
      </w:pPr>
      <w:r>
        <w:rPr>
          <w:rFonts w:ascii="Inter" w:hAnsi="Inter" w:eastAsia="Inter" w:cs="Inter"/>
          <w:color w:val="101828"/>
        </w:rPr>
        <w:t xml:space="preserve">Why should I choose it?</w:t>
      </w:r>
    </w:p>
    <w:p>
      <w:pPr>
        <w:pStyle w:val="ListParagraph"/>
        <w:numPr>
          <w:ilvl w:val="0"/>
          <w:numId w:val="5"/>
        </w:numPr>
        <w:spacing w:after="60"/>
      </w:pPr>
      <w:r>
        <w:rPr>
          <w:rFonts w:ascii="Inter" w:hAnsi="Inter" w:eastAsia="Inter" w:cs="Inter"/>
          <w:color w:val="101828"/>
        </w:rPr>
        <w:t xml:space="preserve">Can I trust the claim?</w:t>
      </w:r>
    </w:p>
    <w:p>
      <w:pPr>
        <w:pStyle w:val="ListParagraph"/>
        <w:numPr>
          <w:ilvl w:val="0"/>
          <w:numId w:val="5"/>
        </w:numPr>
        <w:spacing w:after="60"/>
      </w:pPr>
      <w:r>
        <w:rPr>
          <w:rFonts w:ascii="Inter" w:hAnsi="Inter" w:eastAsia="Inter" w:cs="Inter"/>
          <w:color w:val="101828"/>
        </w:rPr>
        <w:t xml:space="preserve">How does it work or fit my life?</w:t>
      </w:r>
    </w:p>
    <w:p>
      <w:pPr>
        <w:pStyle w:val="ListParagraph"/>
        <w:numPr>
          <w:ilvl w:val="0"/>
          <w:numId w:val="5"/>
        </w:numPr>
        <w:spacing w:after="60"/>
      </w:pPr>
      <w:r>
        <w:rPr>
          <w:rFonts w:ascii="Inter" w:hAnsi="Inter" w:eastAsia="Inter" w:cs="Inter"/>
          <w:color w:val="101828"/>
        </w:rPr>
        <w:t xml:space="preserve">How is it different?</w:t>
      </w:r>
    </w:p>
    <w:p>
      <w:pPr>
        <w:pStyle w:val="ListParagraph"/>
        <w:numPr>
          <w:ilvl w:val="0"/>
          <w:numId w:val="5"/>
        </w:numPr>
        <w:spacing w:after="60"/>
      </w:pPr>
      <w:r>
        <w:rPr>
          <w:rFonts w:ascii="Inter" w:hAnsi="Inter" w:eastAsia="Inter" w:cs="Inter"/>
          <w:color w:val="101828"/>
        </w:rPr>
        <w:t xml:space="preserve">What objection remains?</w:t>
      </w:r>
    </w:p>
    <w:p>
      <w:pPr>
        <w:pStyle w:val="ListParagraph"/>
        <w:numPr>
          <w:ilvl w:val="0"/>
          <w:numId w:val="5"/>
        </w:numPr>
        <w:spacing w:after="60"/>
      </w:pPr>
      <w:r>
        <w:rPr>
          <w:rFonts w:ascii="Inter" w:hAnsi="Inter" w:eastAsia="Inter" w:cs="Inter"/>
          <w:color w:val="101828"/>
        </w:rPr>
        <w:t xml:space="preserve">What else should I know?</w:t>
      </w:r>
    </w:p>
    <w:p>
      <w:pPr>
        <w:spacing w:after="80" w:before="0"/>
      </w:pPr>
    </w:p>
    <w:p>
      <w:pPr>
        <w:pStyle w:val="Heading3"/>
        <w:keepNext/>
        <w:keepLines/>
        <w:widowControl/>
      </w:pPr>
      <w:r>
        <w:rPr>
          <w:rFonts w:ascii="Inter" w:hAnsi="Inter" w:eastAsia="Inter" w:cs="Inter"/>
          <w:color w:val="315BFF"/>
        </w:rPr>
        <w:t xml:space="preserve">Quality check</w:t>
      </w:r>
    </w:p>
    <w:p>
      <w:pPr>
        <w:pStyle w:val="ListParagraph"/>
        <w:numPr>
          <w:ilvl w:val="0"/>
          <w:numId w:val="3"/>
        </w:numPr>
        <w:spacing w:after="60"/>
      </w:pPr>
      <w:r>
        <w:rPr>
          <w:rFonts w:ascii="Inter" w:hAnsi="Inter" w:eastAsia="Inter" w:cs="Inter"/>
          <w:color w:val="101828"/>
        </w:rPr>
        <w:t xml:space="preserve">The first frames communicate the main choice without requiring body copy.</w:t>
      </w:r>
    </w:p>
    <w:p>
      <w:pPr>
        <w:pStyle w:val="ListParagraph"/>
        <w:numPr>
          <w:ilvl w:val="0"/>
          <w:numId w:val="3"/>
        </w:numPr>
        <w:spacing w:after="60"/>
      </w:pPr>
      <w:r>
        <w:rPr>
          <w:rFonts w:ascii="Inter" w:hAnsi="Inter" w:eastAsia="Inter" w:cs="Inter"/>
          <w:color w:val="101828"/>
        </w:rPr>
        <w:t xml:space="preserve">Every claim has proof or approved qualification.</w:t>
      </w:r>
    </w:p>
    <w:p>
      <w:pPr>
        <w:pStyle w:val="ListParagraph"/>
        <w:numPr>
          <w:ilvl w:val="0"/>
          <w:numId w:val="3"/>
        </w:numPr>
        <w:spacing w:after="60"/>
      </w:pPr>
      <w:r>
        <w:rPr>
          <w:rFonts w:ascii="Inter" w:hAnsi="Inter" w:eastAsia="Inter" w:cs="Inter"/>
          <w:color w:val="101828"/>
        </w:rPr>
        <w:t xml:space="preserve">The sequence addresses the highest-priority objections.</w:t>
      </w:r>
    </w:p>
    <w:p>
      <w:pPr>
        <w:pStyle w:val="ListParagraph"/>
        <w:numPr>
          <w:ilvl w:val="0"/>
          <w:numId w:val="3"/>
        </w:numPr>
        <w:spacing w:after="60"/>
      </w:pPr>
      <w:r>
        <w:rPr>
          <w:rFonts w:ascii="Inter" w:hAnsi="Inter" w:eastAsia="Inter" w:cs="Inter"/>
          <w:color w:val="101828"/>
        </w:rPr>
        <w:t xml:space="preserve">Text is legible at intended mobile size.</w:t>
      </w:r>
    </w:p>
    <w:p>
      <w:pPr>
        <w:pStyle w:val="ListParagraph"/>
        <w:numPr>
          <w:ilvl w:val="0"/>
          <w:numId w:val="3"/>
        </w:numPr>
        <w:spacing w:after="60"/>
      </w:pPr>
      <w:r>
        <w:rPr>
          <w:rFonts w:ascii="Inter" w:hAnsi="Inter" w:eastAsia="Inter" w:cs="Inter"/>
          <w:color w:val="101828"/>
        </w:rPr>
        <w:t xml:space="preserve">Product details are accurate.</w:t>
      </w:r>
    </w:p>
    <w:p>
      <w:pPr>
        <w:pStyle w:val="ListParagraph"/>
        <w:numPr>
          <w:ilvl w:val="0"/>
          <w:numId w:val="3"/>
        </w:numPr>
        <w:spacing w:after="60"/>
      </w:pPr>
      <w:r>
        <w:rPr>
          <w:rFonts w:ascii="Inter" w:hAnsi="Inter" w:eastAsia="Inter" w:cs="Inter"/>
          <w:color w:val="101828"/>
        </w:rPr>
        <w:t xml:space="preserve">The asset fits the brand and marketplace context.</w:t>
      </w:r>
    </w:p>
    <w:p>
      <w:pPr>
        <w:pStyle w:val="ListParagraph"/>
        <w:numPr>
          <w:ilvl w:val="0"/>
          <w:numId w:val="3"/>
        </w:numPr>
        <w:spacing w:after="60"/>
      </w:pPr>
      <w:r>
        <w:rPr>
          <w:rFonts w:ascii="Inter" w:hAnsi="Inter" w:eastAsia="Inter" w:cs="Inter"/>
          <w:color w:val="101828"/>
        </w:rPr>
        <w:t xml:space="preserve">Final files, names and source materials are organized.</w:t>
      </w:r>
    </w:p>
    <w:p>
      <w:pPr>
        <w:spacing w:after="80" w:before="0"/>
      </w:pPr>
    </w:p>
    <w:p>
      <w:pPr>
        <w:keepNext/>
        <w:spacing w:after="40" w:before="360"/>
      </w:pPr>
      <w:r>
        <w:rPr>
          <w:rFonts w:ascii="Inter" w:hAnsi="Inter" w:eastAsia="Inter" w:cs="Inter"/>
          <w:b/>
          <w:bCs/>
          <w:color w:val="315BFF"/>
          <w:spacing w:val="20"/>
          <w:sz w:val="16"/>
          <w:szCs w:val="16"/>
        </w:rPr>
        <w:t xml:space="preserve">TEMPLATE E</w:t>
      </w:r>
    </w:p>
    <w:p>
      <w:pPr>
        <w:pStyle w:val="Heading2"/>
        <w:keepNext/>
        <w:keepLines/>
        <w:widowControl/>
        <w:spacing w:before="0"/>
      </w:pPr>
      <w:r>
        <w:rPr>
          <w:rFonts w:ascii="Manrope" w:hAnsi="Manrope" w:eastAsia="Manrope" w:cs="Manrope"/>
          <w:color w:val="101828"/>
        </w:rPr>
        <w:t xml:space="preserve">Workshop design</w:t>
      </w:r>
    </w:p>
    <w:p>
      <w:pPr>
        <w:pStyle w:val="Heading3"/>
        <w:keepNext/>
        <w:keepLines/>
        <w:widowControl/>
      </w:pPr>
      <w:r>
        <w:rPr>
          <w:rFonts w:ascii="Inter" w:hAnsi="Inter" w:eastAsia="Inter" w:cs="Inter"/>
          <w:color w:val="315BFF"/>
        </w:rPr>
        <w:t xml:space="preserve">Program definition</w:t>
      </w:r>
    </w:p>
    <w:p>
      <w:pPr>
        <w:spacing w:after="140"/>
      </w:pPr>
      <w:r>
        <w:rPr>
          <w:rFonts w:ascii="Inter" w:hAnsi="Inter" w:eastAsia="Inter" w:cs="Inter"/>
          <w:color w:val="101828"/>
        </w:rPr>
        <w:t xml:space="preserve">Program name; sponsor; audience and roles; business problem; business outcome; learner outcome; prerequisites; format and duration; follow-up period.</w:t>
      </w:r>
    </w:p>
    <w:p>
      <w:pPr>
        <w:pStyle w:val="Heading3"/>
        <w:keepNext/>
        <w:keepLines/>
        <w:widowControl/>
      </w:pPr>
      <w:r>
        <w:rPr>
          <w:rFonts w:ascii="Inter" w:hAnsi="Inter" w:eastAsia="Inter" w:cs="Inter"/>
          <w:color w:val="315BFF"/>
        </w:rPr>
        <w:t xml:space="preserve">Learning journey</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498"/>
        <w:gridCol w:w="7862"/>
      </w:tblGrid>
      <w:tr>
        <w:trPr>
          <w:cantSplit/>
          <w:tblHeader w:val="true"/>
        </w:trPr>
        <w:tc>
          <w:tcPr>
            <w:tcW w:type="dxa" w:w="149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Step</w:t>
            </w:r>
          </w:p>
        </w:tc>
        <w:tc>
          <w:tcPr>
            <w:tcW w:type="dxa" w:w="786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Design question</w:t>
            </w:r>
          </w:p>
        </w:tc>
      </w:tr>
      <w:tr>
        <w:trPr>
          <w:cantSplit/>
          <w:tblHeader w:val="false"/>
        </w:trPr>
        <w:tc>
          <w:tcPr>
            <w:tcW w:type="dxa" w:w="149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Prepare</w:t>
            </w:r>
          </w:p>
        </w:tc>
        <w:tc>
          <w:tcPr>
            <w:tcW w:type="dxa" w:w="786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diagnostic, pre-work and examples do participants need?</w:t>
            </w:r>
          </w:p>
        </w:tc>
      </w:tr>
      <w:tr>
        <w:trPr>
          <w:cantSplit/>
          <w:tblHeader w:val="false"/>
        </w:trPr>
        <w:tc>
          <w:tcPr>
            <w:tcW w:type="dxa" w:w="149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Learn</w:t>
            </w:r>
          </w:p>
        </w:tc>
        <w:tc>
          <w:tcPr>
            <w:tcW w:type="dxa" w:w="786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Which principle is taught, and through which real example?</w:t>
            </w:r>
          </w:p>
        </w:tc>
      </w:tr>
      <w:tr>
        <w:trPr>
          <w:cantSplit/>
          <w:tblHeader w:val="false"/>
        </w:trPr>
        <w:tc>
          <w:tcPr>
            <w:tcW w:type="dxa" w:w="149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Apply</w:t>
            </w:r>
          </w:p>
        </w:tc>
        <w:tc>
          <w:tcPr>
            <w:tcW w:type="dxa" w:w="786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Which live product or workflow will participants work on?</w:t>
            </w:r>
          </w:p>
        </w:tc>
      </w:tr>
      <w:tr>
        <w:trPr>
          <w:cantSplit/>
          <w:tblHeader w:val="false"/>
        </w:trPr>
        <w:tc>
          <w:tcPr>
            <w:tcW w:type="dxa" w:w="149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Review</w:t>
            </w:r>
          </w:p>
        </w:tc>
        <w:tc>
          <w:tcPr>
            <w:tcW w:type="dxa" w:w="786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Which rubric is used, and who gives feedback?</w:t>
            </w:r>
          </w:p>
        </w:tc>
      </w:tr>
      <w:tr>
        <w:trPr>
          <w:cantSplit/>
          <w:tblHeader w:val="false"/>
        </w:trPr>
        <w:tc>
          <w:tcPr>
            <w:tcW w:type="dxa" w:w="149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Repeat</w:t>
            </w:r>
          </w:p>
        </w:tc>
        <w:tc>
          <w:tcPr>
            <w:tcW w:type="dxa" w:w="786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will participants do independently, and when?</w:t>
            </w:r>
          </w:p>
        </w:tc>
      </w:tr>
      <w:tr>
        <w:trPr>
          <w:cantSplit/>
          <w:tblHeader w:val="false"/>
        </w:trPr>
        <w:tc>
          <w:tcPr>
            <w:tcW w:type="dxa" w:w="149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Sustain</w:t>
            </w:r>
          </w:p>
        </w:tc>
        <w:tc>
          <w:tcPr>
            <w:tcW w:type="dxa" w:w="786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Who owns follow-through, and how is adoption observed?</w:t>
            </w:r>
          </w:p>
        </w:tc>
      </w:tr>
    </w:tbl>
    <w:p>
      <w:pPr>
        <w:spacing w:after="160" w:before="0"/>
      </w:pPr>
    </w:p>
    <w:p>
      <w:pPr>
        <w:pStyle w:val="Heading3"/>
        <w:keepNext/>
        <w:keepLines/>
        <w:widowControl/>
      </w:pPr>
      <w:r>
        <w:rPr>
          <w:rFonts w:ascii="Inter" w:hAnsi="Inter" w:eastAsia="Inter" w:cs="Inter"/>
          <w:color w:val="315BFF"/>
        </w:rPr>
        <w:t xml:space="preserve">Module plan</w:t>
      </w:r>
    </w:p>
    <w:p>
      <w:pPr>
        <w:spacing w:after="140"/>
      </w:pPr>
      <w:r>
        <w:rPr>
          <w:rFonts w:ascii="Inter" w:hAnsi="Inter" w:eastAsia="Inter" w:cs="Inter"/>
          <w:color w:val="101828"/>
        </w:rPr>
        <w:t xml:space="preserve">For every module define the objective, business relevance, example, exercise, review standard, time, materials, facilitator notes and implementation connection.</w:t>
      </w:r>
    </w:p>
    <w:p>
      <w:pPr>
        <w:pStyle w:val="Heading3"/>
        <w:keepNext/>
        <w:keepLines/>
        <w:widowControl/>
      </w:pPr>
      <w:r>
        <w:rPr>
          <w:rFonts w:ascii="Inter" w:hAnsi="Inter" w:eastAsia="Inter" w:cs="Inter"/>
          <w:color w:val="315BFF"/>
        </w:rPr>
        <w:t xml:space="preserve">Follow-through</w:t>
      </w:r>
    </w:p>
    <w:p>
      <w:pPr>
        <w:spacing w:after="140"/>
      </w:pPr>
      <w:r>
        <w:rPr>
          <w:rFonts w:ascii="Inter" w:hAnsi="Inter" w:eastAsia="Inter" w:cs="Inter"/>
          <w:color w:val="101828"/>
        </w:rPr>
        <w:t xml:space="preserve">Internal owner; manager reinforcement; office hours or coaching; applied assignment; quality review date; adoption measure; business measure.</w:t>
      </w:r>
    </w:p>
    <w:p>
      <w:pPr>
        <w:keepNext/>
        <w:spacing w:after="40" w:before="360"/>
      </w:pPr>
      <w:r>
        <w:rPr>
          <w:rFonts w:ascii="Inter" w:hAnsi="Inter" w:eastAsia="Inter" w:cs="Inter"/>
          <w:b/>
          <w:bCs/>
          <w:color w:val="315BFF"/>
          <w:spacing w:val="20"/>
          <w:sz w:val="16"/>
          <w:szCs w:val="16"/>
        </w:rPr>
        <w:t xml:space="preserve">TEMPLATE F</w:t>
      </w:r>
    </w:p>
    <w:p>
      <w:pPr>
        <w:pStyle w:val="Heading2"/>
        <w:keepNext/>
        <w:keepLines/>
        <w:widowControl/>
        <w:spacing w:before="0"/>
      </w:pPr>
      <w:r>
        <w:rPr>
          <w:rFonts w:ascii="Manrope" w:hAnsi="Manrope" w:eastAsia="Manrope" w:cs="Manrope"/>
          <w:color w:val="101828"/>
        </w:rPr>
        <w:t xml:space="preserve">Core templates to create</w:t>
      </w:r>
    </w:p>
    <w:p>
      <w:pPr>
        <w:spacing w:after="140"/>
      </w:pPr>
      <w:r>
        <w:rPr>
          <w:rFonts w:ascii="Inter" w:hAnsi="Inter" w:eastAsia="Inter" w:cs="Inter"/>
          <w:color w:val="101828"/>
        </w:rPr>
        <w:t xml:space="preserve">Brand letterhead and report; proposal and statement of work; agency credentials deck; direct-brand credentials deck; diagnostic report; case study; training facilitator deck; participant workbook; marketplace creative brief; monthly performance review; social post and document carousel; email signature; invoice and commercial document styling. All templates inherit the same type, color, spacing, table and callout rules, and are stored as editable files in the single brand repository.</w:t>
      </w:r>
    </w:p>
    <w:p>
      <w:pPr>
        <w:pStyle w:val="Heading3"/>
        <w:keepNext/>
        <w:keepLines/>
        <w:widowControl/>
      </w:pPr>
      <w:r>
        <w:rPr>
          <w:rFonts w:ascii="Inter" w:hAnsi="Inter" w:eastAsia="Inter" w:cs="Inter"/>
          <w:color w:val="315BFF"/>
        </w:rPr>
        <w:t>Presentation theme</w:t>
      </w:r>
    </w:p>
    <w:p>
      <w:pPr>
        <w:spacing w:after="400" w:line="380"/>
      </w:pPr>
      <w:r>
        <w:rPr>
          <w:rFonts w:ascii="Inter" w:hAnsi="Inter" w:eastAsia="Inter" w:cs="Inter"/>
          <w:color w:val="101828"/>
        </w:rPr>
        <w:t>Use a 16:9 master with Manrope headings, Inter body and data, and Source Serif 4 Italic for selective short insights. Use 44 to 52 pt cover titles, 30 to 34 pt slide titles, 18 to 21 pt body text, 16 to 18 pt tables and 10 to 12 pt source notes. Use approved wordmark artwork rather than reconstructing the logo in a system font.</w:t>
      </w:r>
    </w:p>
    <w:p>
      <w:pPr>
        <w:pStyle w:val="ListParagraph"/>
        <w:numPr>
          <w:ilvl w:val="0"/>
          <w:numId w:val="2"/>
        </w:numPr>
        <w:spacing w:after="60"/>
      </w:pPr>
      <w:r>
        <w:rPr>
          <w:rFonts w:ascii="Inter" w:hAnsi="Inter" w:eastAsia="Inter" w:cs="Inter"/>
          <w:color w:val="101828"/>
        </w:rPr>
        <w:t>Training facilitator decks follow the module sequence: know the principle, see a real example, apply it, review against the standard and commit to the next action.</w:t>
      </w:r>
    </w:p>
    <w:p>
      <w:pPr>
        <w:pStyle w:val="ListParagraph"/>
        <w:numPr>
          <w:ilvl w:val="0"/>
          <w:numId w:val="2"/>
        </w:numPr>
        <w:spacing w:after="60"/>
      </w:pPr>
      <w:r>
        <w:rPr>
          <w:rFonts w:ascii="Inter" w:hAnsi="Inter" w:eastAsia="Inter" w:cs="Inter"/>
          <w:color w:val="101828"/>
        </w:rPr>
        <w:t>Credentials decks present Marketplace Delivery and Training and Team Enablement as equal launch product families and end with a specific route: agency partnership, private program or ASIN review.</w:t>
      </w:r>
    </w:p>
    <w:p/>
    <w:p>
      <w:r>
        <w:br w:type="page"/>
      </w:r>
    </w:p>
    <w:p>
      <w:pPr>
        <w:pStyle w:val="Title"/>
      </w:pPr>
      <w:r>
        <w:t>2026 content alignment | Amazon PPC expansion</w:t>
      </w:r>
    </w:p>
    <w:p>
      <w:r>
        <w:t>Approved brand system retained. This update integrates the business-partner website proposal as an additional service direction; operational availability and commercial terms require owner confirmation.</w:t>
      </w:r>
    </w:p>
    <w:p>
      <w:r>
        <w:rPr>
          <w:b/>
          <w:color w:val="315BFF"/>
          <w:sz w:val="30"/>
        </w:rPr>
        <w:t>Amazon PPC delivery standard</w:t>
      </w:r>
    </w:p>
    <w:p>
      <w:r>
        <w:t>At kickoff define business objectives, product economics, marketplace, campaign access, ad formats, budget authority, approval limits, review cadence and escalation. Establish baselines and diagnostic hypotheses before changing bids or structure. Keep a change log and report what was adjusted, why and what happened.</w:t>
      </w:r>
    </w:p>
    <w:p>
      <w:r>
        <w:rPr>
          <w:b/>
          <w:color w:val="315BFF"/>
          <w:sz w:val="30"/>
        </w:rPr>
        <w:t>PPC quality gates</w:t>
      </w:r>
    </w:p>
    <w:p>
      <w:r>
        <w:t>Review account permissions and data access; campaign and targeting structure; search-term relevance and negatives; bid/budget changes; listing readiness; measurement definitions; policy compliance; reporting clarity; and named expert approval. Distinguish advertising effects from changes in price, stock, reviews, organic sales and promotions.</w:t>
      </w:r>
    </w:p>
    <w:p>
      <w:r>
        <w:rPr>
          <w:b/>
          <w:color w:val="315BFF"/>
          <w:sz w:val="30"/>
        </w:rPr>
        <w:t>White-label and dedicated specialist operations</w:t>
      </w:r>
    </w:p>
    <w:p>
      <w:r>
        <w:t>White-label engagements require agreed client-relationship protection, brand visibility, reporting ownership, service levels and approvals. Dedicated specialist engagements additionally require a clear role map, supervision, access boundaries, capacity and continuity plan. Do not promise a specific employment or legal arrangement by default.</w:t>
      </w:r>
    </w:p>
    <w:p>
      <w:r>
        <w:rPr>
          <w:b/>
          <w:color w:val="315BFF"/>
          <w:sz w:val="30"/>
        </w:rPr>
        <w:t>Market validation and audit methodology</w:t>
      </w:r>
    </w:p>
    <w:p>
      <w:r>
        <w:t>Validation: state product and marketplace, keyword demand, competitors, pricing, advertising pressure, costs, scenario assumptions and unresolved risks. Audits: review PPC setup and listing health, quantify issues where possible and prioritize actions by impact, confidence and effort. Clearly label estimates and uncertainty.</w:t>
      </w:r>
    </w:p>
    <w:p>
      <w:r>
        <w:rPr>
          <w:b/>
          <w:color w:val="315BFF"/>
          <w:sz w:val="30"/>
        </w:rPr>
        <w:t>Standalone Amazon PPC training standard</w:t>
      </w:r>
    </w:p>
    <w:p>
      <w:r>
        <w:t>Add applied PPC modules covering advertising formats, campaign structures, targeting, bids and budgets, search-term analysis, negative targeting, ACOS/ROAS and total-sales interpretation, and live-account optimization. Protect client data and platform access. Require exercises, feedback, a reusable checklist and a 30-day application plan. Existing conversion and agency enablement programs remain available independently.</w:t>
      </w:r>
    </w:p>
    <w:p>
      <w:r>
        <w:rPr>
          <w:b/>
          <w:color w:val="315BFF"/>
          <w:sz w:val="30"/>
        </w:rPr>
        <w:t>Measurement and claims</w:t>
      </w:r>
    </w:p>
    <w:p>
      <w:r>
        <w:t>No guaranteed performance or savings claims. Record metric definitions, baseline, review period, external variables and limits to attribution. Treat ACOS/ROAS as useful but insufficient without margin, inventory, total sales and wider business context.</w:t>
      </w:r>
    </w:p>
    <w:sectPr>
      <w:footerReference w:type="default" r:id="rId7"/>
      <w:pgSz w:w="12240" w:h="15840" w:orient="portrait"/>
      <w:pgMar w:top="1440" w:right="1440" w:bottom="1300" w:left="1440" w:header="708" w:footer="600"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nrope"/>
  <w:font w:name="Inter"/>
  <w:font w:name="Source Serif 4"/>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8" w:sz="4" w:space="4"/>
      </w:pBdr>
      <w:tabs>
        <w:tab w:val="right" w:pos="9360"/>
      </w:tabs>
    </w:pPr>
    <w:r>
      <w:rPr>
        <w:rFonts w:ascii="Inter" w:hAnsi="Inter" w:eastAsia="Inter" w:cs="Inter"/>
        <w:color w:val="5C667A"/>
        <w:sz w:val="15"/>
        <w:szCs w:val="15"/>
      </w:rPr>
      <w:t>ADelier Commerce  |  Delivery and Training Standard 1.6</w:t>
      <w:tab/>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9DEE8"/>
      </w:pBd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315BFF"/>
      </w:rPr>
    </w:lvl>
  </w:abstractNum>
  <w:abstractNum w:abstractNumId="3" w15:restartNumberingAfterBreak="0">
    <w:multiLevelType w:val="hybridMultilevel"/>
    <w:lvl w:ilvl="0" w15:tentative="1">
      <w:start w:val="1"/>
      <w:numFmt w:val="decimal"/>
      <w:lvlText w:val="%1."/>
      <w:lvlJc w:val="left"/>
      <w:pPr>
        <w:ind w:left="360" w:hanging="300"/>
      </w:pPr>
      <w:rPr>
        <w:b/>
        <w:bCs/>
        <w:color w:val="315BFF"/>
      </w:rPr>
    </w:lvl>
  </w:abstractNum>
  <w:abstractNum w:abstractNumId="4" w15:restartNumberingAfterBreak="0">
    <w:multiLevelType w:val="hybridMultilevel"/>
    <w:lvl w:ilvl="0" w15:tentative="1">
      <w:start w:val="1"/>
      <w:numFmt w:val="decimal"/>
      <w:lvlText w:val="%1."/>
      <w:lvlJc w:val="left"/>
      <w:pPr>
        <w:ind w:left="360" w:hanging="300"/>
      </w:pPr>
      <w:rPr>
        <w:b/>
        <w:bCs/>
        <w:color w:val="315BFF"/>
      </w:rPr>
    </w:lvl>
  </w:abstractNum>
  <w:abstractNum w:abstractNumId="5" w15:restartNumberingAfterBreak="0">
    <w:multiLevelType w:val="hybridMultilevel"/>
    <w:lvl w:ilvl="0" w15:tentative="1">
      <w:start w:val="1"/>
      <w:numFmt w:val="decimal"/>
      <w:lvlText w:val="%1."/>
      <w:lvlJc w:val="left"/>
      <w:pPr>
        <w:ind w:left="360" w:hanging="300"/>
      </w:pPr>
      <w:rPr>
        <w:b/>
        <w:bCs/>
        <w:color w:val="315BFF"/>
      </w:rPr>
    </w:lvl>
  </w:abstractNum>
  <w:abstractNum w:abstractNumId="6" w15:restartNumberingAfterBreak="0">
    <w:multiLevelType w:val="hybridMultilevel"/>
    <w:lvl w:ilvl="0" w15:tentative="1">
      <w:start w:val="1"/>
      <w:numFmt w:val="decimal"/>
      <w:lvlText w:val="%1."/>
      <w:lvlJc w:val="left"/>
      <w:pPr>
        <w:ind w:left="360" w:hanging="300"/>
      </w:pPr>
      <w:rPr>
        <w:b/>
        <w:bCs/>
        <w:color w:val="315BFF"/>
      </w:rPr>
    </w:lvl>
  </w:abstractNum>
  <w:abstractNum w:abstractNumId="7" w15:restartNumberingAfterBreak="0">
    <w:multiLevelType w:val="hybridMultilevel"/>
    <w:lvl w:ilvl="0" w15:tentative="1">
      <w:start w:val="1"/>
      <w:numFmt w:val="decimal"/>
      <w:lvlText w:val="%1."/>
      <w:lvlJc w:val="left"/>
      <w:pPr>
        <w:ind w:left="360" w:hanging="300"/>
      </w:pPr>
      <w:rPr>
        <w:b/>
        <w:bCs/>
        <w:color w:val="315BFF"/>
      </w:rPr>
    </w:lvl>
  </w:abstractNum>
  <w:abstractNum w:abstractNumId="8" w15:restartNumberingAfterBreak="0">
    <w:multiLevelType w:val="hybridMultilevel"/>
    <w:lvl w:ilvl="0" w15:tentative="1">
      <w:start w:val="1"/>
      <w:numFmt w:val="decimal"/>
      <w:lvlText w:val="%1."/>
      <w:lvlJc w:val="left"/>
      <w:pPr>
        <w:ind w:left="360" w:hanging="300"/>
      </w:pPr>
      <w:rPr>
        <w:b/>
        <w:bCs/>
        <w:color w:val="315BFF"/>
      </w:rPr>
    </w:lvl>
  </w:abstractNum>
  <w:abstractNum w:abstractNumId="9" w15:restartNumberingAfterBreak="0">
    <w:multiLevelType w:val="hybridMultilevel"/>
    <w:lvl w:ilvl="0" w15:tentative="1">
      <w:start w:val="1"/>
      <w:numFmt w:val="decimal"/>
      <w:lvlText w:val="%1."/>
      <w:lvlJc w:val="left"/>
      <w:pPr>
        <w:ind w:left="360" w:hanging="300"/>
      </w:pPr>
      <w:rPr>
        <w:b/>
        <w:bCs/>
        <w:color w:val="315BFF"/>
      </w:rPr>
    </w:lvl>
  </w:abstractNum>
  <w:abstractNum w:abstractNumId="10" w15:restartNumberingAfterBreak="0">
    <w:multiLevelType w:val="hybridMultilevel"/>
    <w:lvl w:ilvl="0" w15:tentative="1">
      <w:start w:val="1"/>
      <w:numFmt w:val="decimal"/>
      <w:lvlText w:val="%1."/>
      <w:lvlJc w:val="left"/>
      <w:pPr>
        <w:ind w:left="360" w:hanging="300"/>
      </w:pPr>
      <w:rPr>
        <w:b/>
        <w:bCs/>
        <w:color w:val="315BFF"/>
      </w:rPr>
    </w:lvl>
  </w:abstractNum>
  <w:abstractNum w:abstractNumId="11" w15:restartNumberingAfterBreak="0">
    <w:multiLevelType w:val="hybridMultilevel"/>
    <w:lvl w:ilvl="0" w15:tentative="1">
      <w:start w:val="1"/>
      <w:numFmt w:val="decimal"/>
      <w:lvlText w:val="%1."/>
      <w:lvlJc w:val="left"/>
      <w:pPr>
        <w:ind w:left="360" w:hanging="300"/>
      </w:pPr>
      <w:rPr>
        <w:b/>
        <w:bCs/>
        <w:color w:val="315BFF"/>
      </w:rPr>
    </w:lvl>
  </w:abstractNum>
  <w:abstractNum w:abstractNumId="12" w15:restartNumberingAfterBreak="0">
    <w:multiLevelType w:val="hybridMultilevel"/>
    <w:lvl w:ilvl="0" w15:tentative="1">
      <w:start w:val="1"/>
      <w:numFmt w:val="decimal"/>
      <w:lvlText w:val="%1."/>
      <w:lvlJc w:val="left"/>
      <w:pPr>
        <w:ind w:left="360" w:hanging="300"/>
      </w:pPr>
      <w:rPr>
        <w:b/>
        <w:bCs/>
        <w:color w:val="315BFF"/>
      </w:rPr>
    </w:lvl>
  </w:abstractNum>
  <w:abstractNum w:abstractNumId="13" w15:restartNumberingAfterBreak="0">
    <w:multiLevelType w:val="hybridMultilevel"/>
    <w:lvl w:ilvl="0" w15:tentative="1">
      <w:start w:val="1"/>
      <w:numFmt w:val="decimal"/>
      <w:lvlText w:val="%1."/>
      <w:lvlJc w:val="left"/>
      <w:pPr>
        <w:ind w:left="360" w:hanging="300"/>
      </w:pPr>
      <w:rPr>
        <w:b/>
        <w:bCs/>
        <w:color w:val="315BFF"/>
      </w:rPr>
    </w:lvl>
  </w:abstractNum>
  <w:abstractNum w:abstractNumId="14" w15:restartNumberingAfterBreak="0">
    <w:multiLevelType w:val="hybridMultilevel"/>
    <w:lvl w:ilvl="0" w15:tentative="1">
      <w:start w:val="1"/>
      <w:numFmt w:val="decimal"/>
      <w:lvlText w:val="%1."/>
      <w:lvlJc w:val="left"/>
      <w:pPr>
        <w:ind w:left="360" w:hanging="300"/>
      </w:pPr>
      <w:rPr>
        <w:b/>
        <w:bCs/>
        <w:color w:val="315BFF"/>
      </w:rPr>
    </w:lvl>
  </w:abstractNum>
  <w:abstractNum w:abstractNumId="15" w15:restartNumberingAfterBreak="0">
    <w:multiLevelType w:val="hybridMultilevel"/>
    <w:lvl w:ilvl="0" w15:tentative="1">
      <w:start w:val="1"/>
      <w:numFmt w:val="decimal"/>
      <w:lvlText w:val="%1."/>
      <w:lvlJc w:val="left"/>
      <w:pPr>
        <w:ind w:left="360" w:hanging="300"/>
      </w:pPr>
      <w:rPr>
        <w:b/>
        <w:bCs/>
        <w:color w:val="315BF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6"/>
    <w:lvlOverride w:ilvl="0">
      <w:startOverride w:val="1"/>
    </w:lvlOverride>
  </w:num>
  <w:num w:numId="5">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01828"/>
        <w:sz w:val="20"/>
        <w:szCs w:val="20"/>
      </w:rPr>
    </w:rPrDefault>
    <w:pPrDefault>
      <w:pPr>
        <w:spacing w:line="300"/>
      </w:pPr>
    </w:pPrDefault>
  </w:docDefaults>
  <w:style w:type="paragraph" w:styleId="Title">
    <w:name w:val="Title"/>
    <w:basedOn w:val="Normal"/>
    <w:next w:val="Normal"/>
    <w:qFormat/>
    <w:rPr>
      <w:rFonts w:ascii="Manrope" w:hAnsi="Manrope" w:eastAsia="Manrope" w:cs="Manrope"/>
      <w:b/>
      <w:color w:val="101828"/>
      <w:sz w:val="56"/>
      <w:szCs w:val="56"/>
    </w:rPr>
  </w:style>
  <w:style w:type="paragraph" w:styleId="Heading1">
    <w:name w:val="Heading 1"/>
    <w:basedOn w:val="Normal"/>
    <w:next w:val="Normal"/>
    <w:qFormat/>
    <w:rPr>
      <w:rFonts w:ascii="Manrope" w:hAnsi="Manrope" w:eastAsia="Manrope" w:cs="Manrope"/>
      <w:b/>
      <w:color w:val="101828"/>
      <w:sz w:val="32"/>
      <w:szCs w:val="32"/>
    </w:rPr>
  </w:style>
  <w:style w:type="paragraph" w:styleId="Heading2">
    <w:name w:val="Heading 2"/>
    <w:basedOn w:val="Normal"/>
    <w:next w:val="Normal"/>
    <w:qFormat/>
    <w:rPr>
      <w:rFonts w:ascii="Manrope" w:hAnsi="Manrope" w:eastAsia="Manrope" w:cs="Manrope"/>
      <w:b/>
      <w:color w:val="101828"/>
      <w:sz w:val="26"/>
      <w:szCs w:val="26"/>
    </w:rPr>
  </w:style>
  <w:style w:type="paragraph" w:styleId="Heading3">
    <w:name w:val="Heading 3"/>
    <w:basedOn w:val="Normal"/>
    <w:next w:val="Normal"/>
    <w:qFormat/>
    <w:rPr>
      <w:rFonts w:ascii="Inter" w:hAnsi="Inter" w:eastAsia="Inter" w:cs="Inter"/>
      <w:b/>
      <w:color w:val="315BF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Inter" w:hAnsi="Inter" w:eastAsia="Inter" w:cs="Inter"/>
      <w:color w:val="101828"/>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line="260"/>
      <w:outlineLvl w:val="0"/>
    </w:pPr>
    <w:rPr>
      <w:rFonts w:ascii="Manrope" w:cs="Manrope" w:eastAsia="Manrope" w:hAnsi="Manrope"/>
      <w:b/>
      <w:bCs/>
      <w:color w:val="101828"/>
      <w:sz w:val="52"/>
      <w:szCs w:val="52"/>
    </w:rPr>
  </w:style>
  <w:style w:type="paragraph" w:styleId="Heading2">
    <w:name w:val="Heading 2"/>
    <w:basedOn w:val="Normal"/>
    <w:next w:val="Normal"/>
    <w:qFormat/>
    <w:pPr>
      <w:keepNext/>
      <w:spacing w:after="160" w:before="360" w:line="260"/>
      <w:outlineLvl w:val="1"/>
    </w:pPr>
    <w:rPr>
      <w:rFonts w:ascii="Manrope" w:cs="Manrope" w:eastAsia="Manrope" w:hAnsi="Manrope"/>
      <w:b/>
      <w:bCs/>
      <w:color w:val="101828"/>
      <w:sz w:val="34"/>
      <w:szCs w:val="34"/>
    </w:rPr>
  </w:style>
  <w:style w:type="paragraph" w:styleId="Heading3">
    <w:name w:val="Heading 3"/>
    <w:basedOn w:val="Normal"/>
    <w:next w:val="Normal"/>
    <w:qFormat/>
    <w:pPr>
      <w:keepNext/>
      <w:spacing w:after="100" w:before="240"/>
      <w:outlineLvl w:val="2"/>
    </w:pPr>
    <w:rPr>
      <w:rFonts w:ascii="Inter" w:cs="Inter" w:eastAsia="Inter" w:hAnsi="Inter"/>
      <w:b/>
      <w:bCs/>
      <w:color w:val="315BFF"/>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ADelier Delivery and Training Standard v1.5</dc:title>
  <dc:creator>ADelier Commerce</dc:creator>
  <cp:lastModifiedBy>Un-named</cp:lastModifiedBy>
  <cp:revision>1</cp:revision>
  <dcterms:created xsi:type="dcterms:W3CDTF">2026-10-16T06:01:39.072Z</dcterms:created>
  <dcterms:modified xsi:type="dcterms:W3CDTF">2026-10-16T06:01:39.072Z</dcterms:modified>
  <dc:subject>ADelier Commerce brand system, typography and operating guidance</dc:subject>
  <dc:description>Version 1.4 introduces Manrope for display typography and presentation guidance.</dc:description>
</cp:coreProperties>
</file>

<file path=docProps/custom.xml><?xml version="1.0" encoding="utf-8"?>
<Properties xmlns="http://schemas.openxmlformats.org/officeDocument/2006/custom-properties" xmlns:vt="http://schemas.openxmlformats.org/officeDocument/2006/docPropsVTypes"/>
</file>