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26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`node verify.mjs`</w:t>
            </w:r>
            <w:r>
              <w:rPr>
                <w:sz w:val="19"/>
                <w:color w:val="111111"/>
              </w:rPr>
              <w:t xml:space="preserve"> — one command, 85 checks</w:t>
            </w:r>
          </w:p>
        </w:tc>
        <w:tc>
          <w:tcPr>
            <w:tcW w:w="4680" w:type="dxa"/>
          </w:tcPr>
          <w:p>
            <w:pPr>
              <w:spacing w:before="40" w:after="40"/>
            </w:pPr>
            <w:r>
              <w:rPr>
                <w:sz w:val="19"/>
                <w:color w:val="111111"/>
              </w:rPr>
              <w:t xml:space="preserve">Prove the repo is healthy with no key, no network, no credits</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five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21 bug reports</w:t>
            </w:r>
            <w:r>
              <w:rPr>
                <w:sz w:val="19"/>
                <w:color w:val="111111"/>
              </w:rPr>
              <w:t xml:space="preserve">, each re-verified today</w:t>
            </w:r>
          </w:p>
        </w:tc>
        <w:tc>
          <w:tcPr>
            <w:tcW w:w="4680" w:type="dxa"/>
          </w:tcPr>
          <w:p>
            <w:pPr>
              <w:spacing w:before="40" w:after="40"/>
            </w:pPr>
            <w:r>
              <w:rPr>
                <w:sz w:val="19"/>
                <w:color w:val="111111"/>
              </w:rPr>
              <w:t xml:space="preserve">Including 4 of ours that Terminal 3 has since fixed</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15,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21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b/>
          <w:sz w:val="21"/>
          <w:color w:val="111111"/>
        </w:rPr>
        <w:t xml:space="preserve">Balance: 0, `credit_exhausted: true`</w:t>
      </w:r>
      <w:r>
        <w:rPr>
          <w:sz w:val="21"/>
          <w:color w:val="111111"/>
        </w:rPr>
        <w:t xml:space="preserve"> — see §10. One contract registration consumed the entire grant, which is bug #16 and is the reason two things in this submission are marked "built, not yet live".</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436418"/>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1016710"/>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369127"/>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2369127"/>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32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v0.6.0 = id 175, v0.7.0 = 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32 Rust + 40 Node + 13 Playwright, all green</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628250"/>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628250"/>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2177295"/>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0191084"/>
            <wp:docPr id="6" name="Picture 6"/>
            <a:graphic xmlns:a="http://schemas.openxmlformats.org/drawingml/2006/main">
              <a:graphicData uri="http://schemas.openxmlformats.org/drawingml/2006/picture">
                <pic:pic xmlns:pic="http://schemas.openxmlformats.org/drawingml/2006/picture">
                  <pic:nvPicPr>
                    <pic:cNvPr id="6" name="05-full-flow.png"/>
                    <pic:cNvPicPr/>
                  </pic:nvPicPr>
                  <pic:blipFill>
                    <a:blip r:embed="rId105"/>
                    <a:stretch>
                      <a:fillRect/>
                    </a:stretch>
                  </pic:blipFill>
                  <pic:spPr>
                    <a:xfrm>
                      <a:off x="0" y="0"/>
                      <a:ext cx="5486400" cy="10191084"/>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New this round: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85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2949420"/>
            <wp:docPr id="7" name="Picture 7"/>
            <a:graphic xmlns:a="http://schemas.openxmlformats.org/drawingml/2006/main">
              <a:graphicData uri="http://schemas.openxmlformats.org/drawingml/2006/picture">
                <pic:pic xmlns:pic="http://schemas.openxmlformats.org/drawingml/2006/picture">
                  <pic:nvPicPr>
                    <pic:cNvPr id="7" name="07-tests.png"/>
                    <pic:cNvPicPr/>
                  </pic:nvPicPr>
                  <pic:blipFill>
                    <a:blip r:embed="rId106"/>
                    <a:stretch>
                      <a:fillRect/>
                    </a:stretch>
                  </pic:blipFill>
                  <pic:spPr>
                    <a:xfrm>
                      <a:off x="0" y="0"/>
                      <a:ext cx="5486400" cy="2949420"/>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2949420"/>
            <wp:docPr id="8" name="Picture 8"/>
            <a:graphic xmlns:a="http://schemas.openxmlformats.org/drawingml/2006/main">
              <a:graphicData uri="http://schemas.openxmlformats.org/drawingml/2006/picture">
                <pic:pic xmlns:pic="http://schemas.openxmlformats.org/drawingml/2006/picture">
                  <pic:nvPicPr>
                    <pic:cNvPr id="8" name="14-bug-trust-anchor.png"/>
                    <pic:cNvPicPr/>
                  </pic:nvPicPr>
                  <pic:blipFill>
                    <a:blip r:embed="rId107"/>
                    <a:stretch>
                      <a:fillRect/>
                    </a:stretch>
                  </pic:blipFill>
                  <pic:spPr>
                    <a:xfrm>
                      <a:off x="0" y="0"/>
                      <a:ext cx="5486400" cy="2949420"/>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21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016710"/>
            <wp:docPr id="9" name="Picture 9"/>
            <a:graphic xmlns:a="http://schemas.openxmlformats.org/drawingml/2006/main">
              <a:graphicData uri="http://schemas.openxmlformats.org/drawingml/2006/picture">
                <pic:pic xmlns:pic="http://schemas.openxmlformats.org/drawingml/2006/picture">
                  <pic:nvPicPr>
                    <pic:cNvPr id="9" name="08-bug-token-balance.png"/>
                    <pic:cNvPicPr/>
                  </pic:nvPicPr>
                  <pic:blipFill>
                    <a:blip r:embed="rId108"/>
                    <a:stretch>
                      <a:fillRect/>
                    </a:stretch>
                  </pic:blipFill>
                  <pic:spPr>
                    <a:xfrm>
                      <a:off x="0" y="0"/>
                      <a:ext cx="5486400" cy="1016710"/>
                    </a:xfrm>
                    <a:prstGeom prst="rect">
                      <a:avLst/>
                    </a:prstGeom>
                  </pic:spPr>
                </pic:pic>
              </a:graphicData>
            </a:graphic>
          </wp:inline>
        </w:drawing>
      </w:r>
    </w:p>
    <w:p>
      <w:pPr>
        <w:jc w:val="center"/>
        <w:spacing w:before="80" w:after="200"/>
      </w:pPr>
      <w:r>
        <w:drawing>
          <wp:inline distT="0" distB="0" distL="0" distR="0">
            <wp:extent cx="5486400" cy="628250"/>
            <wp:docPr id="10" name="Picture 10"/>
            <a:graphic xmlns:a="http://schemas.openxmlformats.org/drawingml/2006/main">
              <a:graphicData uri="http://schemas.openxmlformats.org/drawingml/2006/picture">
                <pic:pic xmlns:pic="http://schemas.openxmlformats.org/drawingml/2006/picture">
                  <pic:nvPicPr>
                    <pic:cNvPr id="10" name="10-bug-node-version.png"/>
                    <pic:cNvPicPr/>
                  </pic:nvPicPr>
                  <pic:blipFill>
                    <a:blip r:embed="rId109"/>
                    <a:stretch>
                      <a:fillRect/>
                    </a:stretch>
                  </pic:blipFill>
                  <pic:spPr>
                    <a:xfrm>
                      <a:off x="0" y="0"/>
                      <a:ext cx="5486400" cy="628250"/>
                    </a:xfrm>
                    <a:prstGeom prst="rect">
                      <a:avLst/>
                    </a:prstGeom>
                  </pic:spPr>
                </pic:pic>
              </a:graphicData>
            </a:graphic>
          </wp:inline>
        </w:drawing>
      </w:r>
    </w:p>
    <w:p>
      <w:pPr>
        <w:jc w:val="center"/>
        <w:spacing w:before="80" w:after="200"/>
      </w:pPr>
      <w:r>
        <w:drawing>
          <wp:inline distT="0" distB="0" distL="0" distR="0">
            <wp:extent cx="5486400" cy="436418"/>
            <wp:docPr id="11" name="Picture 11"/>
            <a:graphic xmlns:a="http://schemas.openxmlformats.org/drawingml/2006/main">
              <a:graphicData uri="http://schemas.openxmlformats.org/drawingml/2006/picture">
                <pic:pic xmlns:pic="http://schemas.openxmlformats.org/drawingml/2006/picture">
                  <pic:nvPicPr>
                    <pic:cNvPr id="11" name="09-bug-host-card.png"/>
                    <pic:cNvPicPr/>
                  </pic:nvPicPr>
                  <pic:blipFill>
                    <a:blip r:embed="rId110"/>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436418"/>
            <wp:docPr id="12" name="Picture 12"/>
            <a:graphic xmlns:a="http://schemas.openxmlformats.org/drawingml/2006/main">
              <a:graphicData uri="http://schemas.openxmlformats.org/drawingml/2006/picture">
                <pic:pic xmlns:pic="http://schemas.openxmlformats.org/drawingml/2006/picture">
                  <pic:nvPicPr>
                    <pic:cNvPr id="12" name="15-bug-metering.png"/>
                    <pic:cNvPicPr/>
                  </pic:nvPicPr>
                  <pic:blipFill>
                    <a:blip r:embed="rId111"/>
                    <a:stretch>
                      <a:fillRect/>
                    </a:stretch>
                  </pic:blipFill>
                  <pic:spPr>
                    <a:xfrm>
                      <a:off x="0" y="0"/>
                      <a:ext cx="5486400" cy="436418"/>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3" name="Picture 13"/>
            <a:graphic xmlns:a="http://schemas.openxmlformats.org/drawingml/2006/main">
              <a:graphicData uri="http://schemas.openxmlformats.org/drawingml/2006/picture">
                <pic:pic xmlns:pic="http://schemas.openxmlformats.org/drawingml/2006/picture">
                  <pic:nvPicPr>
                    <pic:cNvPr id="13" name="11-qa-console-approved.png"/>
                    <pic:cNvPicPr/>
                  </pic:nvPicPr>
                  <pic:blipFill>
                    <a:blip r:embed="rId112"/>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4" name="Picture 14"/>
            <a:graphic xmlns:a="http://schemas.openxmlformats.org/drawingml/2006/main">
              <a:graphicData uri="http://schemas.openxmlformats.org/drawingml/2006/picture">
                <pic:pic xmlns:pic="http://schemas.openxmlformats.org/drawingml/2006/picture">
                  <pic:nvPicPr>
                    <pic:cNvPr id="14" name="12-qa-console-rejected.png"/>
                    <pic:cNvPicPr/>
                  </pic:nvPicPr>
                  <pic:blipFill>
                    <a:blip r:embed="rId113"/>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5" name="Picture 15"/>
            <a:graphic xmlns:a="http://schemas.openxmlformats.org/drawingml/2006/main">
              <a:graphicData uri="http://schemas.openxmlformats.org/drawingml/2006/picture">
                <pic:pic xmlns:pic="http://schemas.openxmlformats.org/drawingml/2006/picture">
                  <pic:nvPicPr>
                    <pic:cNvPr id="15" name="13-qa-console-self-issued.png"/>
                    <pic:cNvPicPr/>
                  </pic:nvPicPr>
                  <pic:blipFill>
                    <a:blip r:embed="rId114"/>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111 automated checks total:</w:t>
      </w:r>
      <w:r>
        <w:rPr>
          <w:sz w:val="21"/>
          <w:color w:val="111111"/>
        </w:rPr>
        <w:t xml:space="preserve"> 32 Rust, 40 Node, 13 Playwright end-to-end, 10 against the live deployed site, 16 on the submission artifacts.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on the network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VC gate → TEE mandate → audit → in-TEE dispatch (HTTP 200)</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85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r>
              <w:rPr>
                <w:sz w:val="19"/>
                <w:color w:val="111111"/>
              </w:rPr>
              <w:t xml:space="preserve">, now only credits</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bl>
    <w:p>
      <w:pPr>
        <w:spacing w:before="120" w:after="120"/>
      </w:pPr>
    </w:p>
    <w:p>
      <w:pPr>
        <w:spacing w:before="120" w:after="120"/>
      </w:pPr>
      <w:r>
        <w:rPr>
          <w:sz w:val="21"/>
          <w:color w:val="111111"/>
        </w:rPr>
        <w:t xml:space="preserve">Shots 05 and 06 were captured live on 8 August against v0.6.0. They are not re-run here: the account is at zero credits, so re-running would replace a real working flow with a 403. </w:t>
      </w:r>
      <w:r>
        <w:rPr>
          <w:rFonts w:ascii="Consolas" w:hAnsi="Consolas"/>
          <w:shd w:val="clear" w:fill="F0F2F4"/>
          <w:sz w:val="18"/>
          <w:color w:val="111111"/>
        </w:rPr>
        <w:t xml:space="preserve">capture.mjs --live</w:t>
      </w:r>
      <w:r>
        <w:rPr>
          <w:sz w:val="21"/>
          <w:color w:val="111111"/>
        </w:rPr>
        <w:t xml:space="preserve"> refreshes them once credits exist.</w:t>
      </w:r>
    </w:p>
    <w:p>
      <w:pPr>
        <w:spacing w:before="120" w:after="120"/>
      </w:pPr>
      <w:r>
        <w:rPr>
          <w:sz w:val="21"/>
          <w:color w:val="111111"/>
        </w:rPr>
        <w:t xml:space="preserve">Shots 14 and 15 are new today and are in the repo; the evidence site is one deploy behind them, because Vercel's free tier refused a further deployment today ("more than 100 per day"). It picks them up on the next deploy — the files are already in </w:t>
      </w:r>
      <w:r>
        <w:rPr>
          <w:rFonts w:ascii="Consolas" w:hAnsi="Consolas"/>
          <w:shd w:val="clear" w:fill="F0F2F4"/>
          <w:sz w:val="18"/>
          <w:color w:val="111111"/>
        </w:rPr>
        <w:t xml:space="preserve">site/shots/</w:t>
      </w:r>
      <w:r>
        <w:rPr>
          <w:sz w:val="21"/>
          <w:color w:val="111111"/>
        </w:rPr>
        <w:t xml:space="preserve">, since </w:t>
      </w:r>
      <w:r>
        <w:rPr>
          <w:rFonts w:ascii="Consolas" w:hAnsi="Consolas"/>
          <w:shd w:val="clear" w:fill="F0F2F4"/>
          <w:sz w:val="18"/>
          <w:color w:val="111111"/>
        </w:rPr>
        <w:t xml:space="preserve">capture.mjs</w:t>
      </w:r>
      <w:r>
        <w:rPr>
          <w:sz w:val="21"/>
          <w:color w:val="111111"/>
        </w:rPr>
        <w:t xml:space="preserve"> now syncs them there rather than leaving it as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sz w:val="19"/>
                <w:color w:val="111111"/>
              </w:rPr>
              <w:t xml:space="preserve">v0.7.0, </w:t>
            </w:r>
            <w:r>
              <w:rPr>
                <w:rFonts w:ascii="Consolas" w:hAnsi="Consolas"/>
                <w:shd w:val="clear" w:fill="F0F2F4"/>
                <w:sz w:val="16"/>
                <w:color w:val="111111"/>
              </w:rPr>
              <w:t xml:space="preserve">contract_id 479</w:t>
            </w:r>
          </w:p>
        </w:tc>
      </w:tr>
      <w:tr>
        <w:tc>
          <w:tcPr>
            <w:tcW w:w="4680" w:type="dxa"/>
          </w:tcPr>
          <w:p>
            <w:pPr>
              <w:spacing w:before="40" w:after="40"/>
            </w:pPr>
            <w:r>
              <w:rPr>
                <w:b/>
                <w:sz w:val="19"/>
                <w:color w:val="111111"/>
              </w:rPr>
              <w:t xml:space="preserve">Built, tested, not registered</w:t>
            </w:r>
          </w:p>
        </w:tc>
        <w:tc>
          <w:tcPr>
            <w:tcW w:w="4680" w:type="dxa"/>
          </w:tcPr>
          <w:p>
            <w:pPr>
              <w:spacing w:before="40" w:after="40"/>
            </w:pPr>
            <w:r>
              <w:rPr>
                <w:sz w:val="19"/>
                <w:color w:val="111111"/>
              </w:rPr>
              <w:t xml:space="preserve">v0.9.0 — trusted issuers, per-counterparty sub-limits, the enclave-held credential</w:t>
            </w:r>
          </w:p>
        </w:tc>
      </w:tr>
      <w:tr>
        <w:tc>
          <w:tcPr>
            <w:tcW w:w="4680" w:type="dxa"/>
          </w:tcPr>
          <w:p>
            <w:pPr>
              <w:spacing w:before="40" w:after="40"/>
            </w:pPr>
            <w:r>
              <w:rPr>
                <w:b/>
                <w:sz w:val="19"/>
                <w:color w:val="111111"/>
              </w:rPr>
              <w:t xml:space="preserve">Why</w:t>
            </w:r>
          </w:p>
        </w:tc>
        <w:tc>
          <w:tcPr>
            <w:tcW w:w="4680" w:type="dxa"/>
          </w:tcPr>
          <w:p>
            <w:pPr>
              <w:spacing w:before="40" w:after="40"/>
            </w:pPr>
            <w:r>
              <w:rPr>
                <w:sz w:val="19"/>
                <w:color w:val="111111"/>
              </w:rPr>
              <w:t xml:space="preserve">balance is 0. Registering v0.7.0's 204 KB wasm consumed the whole grant (bug #16), and every write since returns </w:t>
            </w:r>
            <w:r>
              <w:rPr>
                <w:rFonts w:ascii="Consolas" w:hAnsi="Consolas"/>
                <w:shd w:val="clear" w:fill="F0F2F4"/>
                <w:sz w:val="16"/>
                <w:color w:val="111111"/>
              </w:rPr>
              <w:t xml:space="preserve">required=10000000000, available=0</w:t>
            </w:r>
          </w:p>
        </w:tc>
      </w:tr>
    </w:tbl>
    <w:p>
      <w:pPr>
        <w:spacing w:before="120" w:after="120"/>
      </w:pPr>
    </w:p>
    <w:p>
      <w:pPr>
        <w:spacing w:before="120" w:after="120"/>
      </w:pPr>
      <w:r>
        <w:rPr>
          <w:sz w:val="21"/>
          <w:color w:val="111111"/>
        </w:rPr>
        <w:t xml:space="preserve">v0.9.0's Rust logic is covered by 32 unit tests and its decision path is exercised end to end through </w:t>
      </w:r>
      <w:r>
        <w:rPr>
          <w:rFonts w:ascii="Consolas" w:hAnsi="Consolas"/>
          <w:shd w:val="clear" w:fill="F0F2F4"/>
          <w:sz w:val="18"/>
          <w:color w:val="111111"/>
        </w:rPr>
        <w:t xml:space="preserve">gate_cli</w:t>
      </w:r>
      <w:r>
        <w:rPr>
          <w:sz w:val="21"/>
          <w:color w:val="111111"/>
        </w:rPr>
        <w:t xml:space="preserve"> by the Playwright suite, so the logic is tested — but the KV-mandate read and the enclave credential fetch are wasm-only and have not run on a node. With a top-up, </w:t>
      </w:r>
      <w:r>
        <w:rPr>
          <w:rFonts w:ascii="Consolas" w:hAnsi="Consolas"/>
          <w:shd w:val="clear" w:fill="F0F2F4"/>
          <w:sz w:val="18"/>
          <w:color w:val="111111"/>
        </w:rPr>
        <w:t xml:space="preserve">npm run setup</w:t>
      </w:r>
      <w:r>
        <w:rPr>
          <w:sz w:val="21"/>
          <w:color w:val="111111"/>
        </w:rPr>
        <w:t xml:space="preserve"> registers it and the remaining live evidence follows in one pass.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checks the credential's issuer against </w:t>
      </w:r>
      <w:r>
        <w:rPr>
          <w:rFonts w:ascii="Consolas" w:hAnsi="Consolas"/>
          <w:shd w:val="clear" w:fill="F0F2F4"/>
          <w:sz w:val="18"/>
          <w:color w:val="111111"/>
        </w:rPr>
        <w:t xml:space="preserve">allowed_issuers</w:t>
      </w:r>
      <w:r>
        <w:rPr>
          <w:sz w:val="21"/>
          <w:color w:val="111111"/>
        </w:rPr>
        <w:t xml:space="preserve">, but takes the agent's word that it verified the proof. Closing that needs in-contract </w:t>
      </w:r>
      <w:r>
        <w:rPr>
          <w:rFonts w:ascii="Consolas" w:hAnsi="Consolas"/>
          <w:shd w:val="clear" w:fill="F0F2F4"/>
          <w:sz w:val="18"/>
          <w:color w:val="111111"/>
        </w:rPr>
        <w:t xml:space="preserve">vp.verify</w:t>
      </w:r>
      <w:r>
        <w:rPr>
          <w:sz w:val="21"/>
          <w:color w:val="111111"/>
        </w:rPr>
        <w:t xml:space="preserve">, which the node does not serve (bug #7) — or a hash commitment, which is implementable today.</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85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setup                             # register + create and seed the 3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ng" Type="http://schemas.openxmlformats.org/officeDocument/2006/relationships/image"/><Relationship Id="rId106" Target="media/07-tests.png" Type="http://schemas.openxmlformats.org/officeDocument/2006/relationships/image"/><Relationship Id="rId107" Target="media/14-bug-trust-anchor.png" Type="http://schemas.openxmlformats.org/officeDocument/2006/relationships/image"/><Relationship Id="rId108" Target="media/08-bug-token-balance.png" Type="http://schemas.openxmlformats.org/officeDocument/2006/relationships/image"/><Relationship Id="rId109" Target="media/10-bug-node-version.png" Type="http://schemas.openxmlformats.org/officeDocument/2006/relationships/image"/><Relationship Id="rId110" Target="media/09-bug-host-card.png" Type="http://schemas.openxmlformats.org/officeDocument/2006/relationships/image"/><Relationship Id="rId111" Target="media/15-bug-metering.png" Type="http://schemas.openxmlformats.org/officeDocument/2006/relationships/image"/><Relationship Id="rId112" Target="media/11-qa-console-approved.png" Type="http://schemas.openxmlformats.org/officeDocument/2006/relationships/image"/><Relationship Id="rId113" Target="media/12-qa-console-rejected.png" Type="http://schemas.openxmlformats.org/officeDocument/2006/relationships/image"/><Relationship Id="rId114" Target="media/13-qa-console-self-issued.png" Type="http://schemas.openxmlformats.org/officeDocument/2006/relationships/image"/>
</Relationships>
</file>