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Внутренняя Support-CRM</w:t>
      </w:r>
    </w:p>
    <w:p>
      <w:pPr>
        <w:spacing w:after="40"/>
      </w:pPr>
      <w:r>
        <w:rPr>
          <w:color w:val="2E6BE6"/>
          <w:sz w:val="28"/>
          <w:szCs w:val="28"/>
        </w:rPr>
        <w:t xml:space="preserve">Архитектура и функционал проекта</w:t>
      </w:r>
    </w:p>
    <w:p>
      <w:pPr>
        <w:spacing w:after="180"/>
      </w:pPr>
      <w:r>
        <w:rPr>
          <w:color w:val="6B7280"/>
          <w:sz w:val="20"/>
          <w:szCs w:val="20"/>
        </w:rPr>
        <w:t xml:space="preserve">MVP · white-label / мульти-бренд</w:t>
      </w:r>
    </w:p>
    <w:p>
      <w:pPr>
        <w:pBdr>
          <w:bottom w:val="single" w:color="D9DEE7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1. Функционал на выходе (MVP)</w:t>
      </w:r>
    </w:p>
    <w:p>
      <w:pPr>
        <w:spacing w:after="120" w:line="276"/>
      </w:pPr>
      <w:r>
        <w:t xml:space="preserve">Что система умеет уже в первой рабочей версии — по духу это Zendesk: обращения из разных каналов в едином инбоксе, обработка тикетов, автоматизации и отчётность.</w:t>
      </w:r>
    </w:p>
    <w:p>
      <w:pPr>
        <w:pStyle w:val="Heading2"/>
      </w:pPr>
      <w:r>
        <w:t xml:space="preserve">Каналы (в составе MVP)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API-канал (основной вход) — </w:t>
      </w:r>
      <w:r>
        <w:t xml:space="preserve">ключевой и приоритетный канал MVP: принимает диалоги нашего внешнего AI-виджета (он уже работает по API) и сообщения из мессенджеров, которые сейчас поступают через API.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Live-chat виджет — </w:t>
      </w:r>
      <w:r>
        <w:t xml:space="preserve">живой чат на сайте (встраиваемый).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Мобильный чат — </w:t>
      </w:r>
      <w:r>
        <w:t xml:space="preserve">чат внутри мобильных приложений (iOS / Android SDK).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Email — </w:t>
      </w:r>
      <w:r>
        <w:t xml:space="preserve">почта поддержки — входящие и исходящие.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Прямые (нативные) коннекторы мессенджеров (WhatsApp, Telegram, соцсети) — </w:t>
      </w:r>
      <w:r>
        <w:rPr>
          <w:b/>
          <w:bCs/>
        </w:rPr>
        <w:t xml:space="preserve">на этапе расширения</w:t>
      </w:r>
      <w:r>
        <w:t xml:space="preserve">; их сообщения уже поступают через API-канал.</w:t>
      </w:r>
    </w:p>
    <w:p>
      <w:pPr>
        <w:pStyle w:val="Heading2"/>
      </w:pPr>
      <w:r>
        <w:t xml:space="preserve">Работа с обращениями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Единый инбокс и тикеты — </w:t>
      </w:r>
      <w:r>
        <w:t xml:space="preserve">статусы (открыт / в ожидании / решён / отложен), приоритеты, представления (views).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Инструменты агента — </w:t>
      </w:r>
      <w:r>
        <w:t xml:space="preserve">шаблоны ответов, макросы, приватные заметки, @упоминания, метки.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Маршрутизация и авто-назначение — </w:t>
      </w:r>
      <w:r>
        <w:t xml:space="preserve">round-robin по командам и нагрузке; переназначение при переоткрытии.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Автоматизации — </w:t>
      </w:r>
      <w:r>
        <w:t xml:space="preserve">движок правил «если → то» (ключевые слова, теги, события).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SLA — </w:t>
      </w:r>
      <w:r>
        <w:t xml:space="preserve">контроль времени первого ответа.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Бот и эскалация — </w:t>
      </w:r>
      <w:r>
        <w:t xml:space="preserve">бот обрабатывает первичное, при необходимости эскалирует на агента.</w:t>
      </w:r>
    </w:p>
    <w:p>
      <w:pPr>
        <w:pStyle w:val="Heading2"/>
      </w:pPr>
      <w:r>
        <w:t xml:space="preserve">Данные, доступ, аналитика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Контакты и компании — </w:t>
      </w:r>
      <w:r>
        <w:t xml:space="preserve">с настраиваемыми полями (custom attributes).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Роли и права (RBAC) — </w:t>
      </w:r>
      <w:r>
        <w:t xml:space="preserve">гранулярный доступ по областям; супер-админ управляет пользователями и правами.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Аудит-лог — </w:t>
      </w:r>
      <w:r>
        <w:t xml:space="preserve">запись чувствительных действий (выгрузки, смена прав, удаления, доступ к данным).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Безопасные файлы и выгрузки — </w:t>
      </w:r>
      <w:r>
        <w:t xml:space="preserve">проверка загрузок; выгрузки с ограничением по времени и журналированием.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Аналитика — </w:t>
      </w:r>
      <w:r>
        <w:t xml:space="preserve">брендированные дашборды: объём, время ответа/решения, нагрузка, разрезы по каналу/метке/команде.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Мультибренд / white-label — </w:t>
      </w:r>
      <w:r>
        <w:t xml:space="preserve">тема и брендинг — сменный конфиг; светлая и тёмная темы.</w:t>
      </w:r>
    </w:p>
    <w:p>
      <w:pPr>
        <w:pStyle w:val="Heading2"/>
      </w:pPr>
      <w:r>
        <w:t xml:space="preserve">Категории обращений (таксономия тем)</w:t>
      </w:r>
    </w:p>
    <w:p>
      <w:pPr>
        <w:spacing w:after="120" w:line="276"/>
      </w:pPr>
      <w:r>
        <w:t xml:space="preserve">Система рассчитана на многоуровневую классификацию обращений (уровни L1 → L2 → L3). Основные категории и типичные под-темы: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Депозиты — </w:t>
      </w:r>
      <w:r>
        <w:t xml:space="preserve">статус депозита, «средства не зачислены», задержки, отклонённый платёж.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Вывод средств — </w:t>
      </w:r>
      <w:r>
        <w:t xml:space="preserve">статус вывода, «не могу вывести», в ожидании, отклонён.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Верификация / KYC — </w:t>
      </w:r>
      <w:r>
        <w:t xml:space="preserve">документы, проверка телефона и email, статус верификации.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Промо и бонусы — </w:t>
      </w:r>
      <w:r>
        <w:t xml:space="preserve">приветственный бонус, кэшбэк, фриспины, депозитный %, отозванный бонус.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Аккаунт — </w:t>
      </w:r>
      <w:r>
        <w:t xml:space="preserve">смена персональных данных, сброс пароля, ограничения, закрытие / самоисключение.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VIP — </w:t>
      </w:r>
      <w:r>
        <w:t xml:space="preserve">перки, follow-up, персональные менеджеры.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Продукт и технические — </w:t>
      </w:r>
      <w:r>
        <w:t xml:space="preserve">вход в аккаунт, сайт, спортбук, казино, технические сбои.</w:t>
      </w:r>
    </w:p>
    <w:p>
      <w:pPr>
        <w:pStyle w:val="Heading2"/>
      </w:pPr>
      <w:r>
        <w:t xml:space="preserve">Поля обращения (настраиваемые атрибуты)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Платёжные — </w:t>
      </w:r>
      <w:r>
        <w:t xml:space="preserve">сумма депозита, дата платежа, платёжный шлюз, PSP, ID транзакции, внешний PSP ID.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Идентификация — </w:t>
      </w:r>
      <w:r>
        <w:t xml:space="preserve">Player ID, страна, язык, уровень пользователя.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Классификация — </w:t>
      </w:r>
      <w:r>
        <w:t xml:space="preserve">тип обращения, тип проблемы, тема (topic).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Решение — </w:t>
      </w:r>
      <w:r>
        <w:t xml:space="preserve">уровень и тип резолюции, требуемые задачи, статус согласования.</w:t>
      </w:r>
    </w:p>
    <w:p>
      <w:pPr>
        <w:pStyle w:val="Heading2"/>
      </w:pPr>
      <w:r>
        <w:t xml:space="preserve">Метки, макросы, автоматизации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Метки (labels) — </w:t>
      </w:r>
      <w:r>
        <w:t xml:space="preserve">семейства по категориям (депозиты, выводы, верификация, промо, VIP) и служебные (бот, авто-маршрутизация).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Макросы — </w:t>
      </w:r>
      <w:r>
        <w:t xml:space="preserve">приветствия и закрытия, смена данных с/без KYC, сценарии account-safety (самоисключение), по стране/валюте, follow-up.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Автоматизации / триггеры — </w:t>
      </w:r>
      <w:r>
        <w:t xml:space="preserve">маршрутизация по ключевым словам, назначение в группу, запрос оценки (CSAT), авто-переназначение, теги по событию.</w:t>
      </w:r>
    </w:p>
    <w:p>
      <w:pPr>
        <w:pStyle w:val="Heading2"/>
      </w:pPr>
      <w:r>
        <w:t xml:space="preserve">Команды, роли, маршрутизация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Команды (группы) — </w:t>
      </w:r>
      <w:r>
        <w:t xml:space="preserve">общая поддержка, депозиты, VIP, VIP-менеджеры (эскалация L1), команды по платёжным провайдерам.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Роли — </w:t>
      </w:r>
      <w:r>
        <w:t xml:space="preserve">агент, администратор, супер-админ.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Маршрутизация — </w:t>
      </w:r>
      <w:r>
        <w:t xml:space="preserve">омниканальная, round-robin, с учётом нагрузки; переназначение переоткрытых.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Представления (views) — </w:t>
      </w:r>
      <w:r>
        <w:t xml:space="preserve">по статусу, VIP, депозиты, «на ревью супервайзера», бот-управляемые, эскалированные.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SLA — </w:t>
      </w:r>
      <w:r>
        <w:t xml:space="preserve">время первого ответа.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Каналы — </w:t>
      </w:r>
      <w:r>
        <w:t xml:space="preserve">веб-виджеты, мобильный чат (iOS/Android), email, API-канал; бот с эскалацией на агента.</w:t>
      </w:r>
    </w:p>
    <w:p>
      <w:pPr>
        <w:pStyle w:val="Heading1"/>
      </w:pPr>
      <w:r>
        <w:t xml:space="preserve">2. Архитектура системы</w:t>
      </w:r>
    </w:p>
    <w:p>
      <w:pPr>
        <w:spacing w:after="120" w:line="276"/>
      </w:pPr>
      <w:r>
        <w:t xml:space="preserve">Модульный монолит на NestJS: единое приложение с модулями по доменам (тикеты, контакты, каналы, автоматизации, RBAC и т.д.). Отдельные сервисы (например AI) выделяются позже — по мере необходимости. Всё self-hosted, данные остаются в нашем контуре.</w:t>
      </w:r>
    </w:p>
    <w:p>
      <w:pPr>
        <w:spacing w:after="80" w:before="60"/>
        <w:jc w:val="center"/>
      </w:pPr>
      <w:r>
        <w:drawing>
          <wp:inline distT="0" distB="0" distL="0" distR="0">
            <wp:extent cx="5943600" cy="3648075"/>
            <wp:effectExtent t="0" r="0" b="0" l="0"/>
            <wp:docPr id="1" name="arch" descr="Схема слоёв системы" title="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t xml:space="preserve">Поток данных: каналы → Caddy (единая точка входа + HTTPS) → фронтенд (Vue) и API (NestJS). API работает с базой через Prisma (Supabase Postgres), с фоновыми задачами через Redis + BullMQ, с логинами и файлами — через Supabase Auth/Storage. Живые обновления идут по WebSocket/SSE.</w:t>
      </w:r>
    </w:p>
    <w:p>
      <w:pPr>
        <w:pStyle w:val="Heading1"/>
      </w:pPr>
      <w:r>
        <w:t xml:space="preserve">3. Технологический стек</w:t>
      </w:r>
    </w:p>
    <w:p>
      <w:pPr>
        <w:spacing w:after="120" w:line="276"/>
      </w:pPr>
      <w:r>
        <w:t xml:space="preserve">Инструменты и назначение каждого: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560"/>
      </w:tblGrid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Язык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Один типизированный язык на бэк и фронт — меньше ошибок.</w:t>
            </w:r>
          </w:p>
        </w:tc>
      </w:tr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Каркас серверной логики: тикеты, правила, API.</w:t>
            </w:r>
          </w:p>
        </w:tc>
      </w:tr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БД + Auth + Файлы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(self-hosted)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Данные (PostgreSQL), логины и файлы — на наших серверах.</w:t>
            </w:r>
          </w:p>
        </w:tc>
      </w:tr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Доступ к данным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Безопасный типизированный доступ к базе.</w:t>
            </w:r>
          </w:p>
        </w:tc>
      </w:tr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Фон: уведомления, выгрузки, регламентные задачи.</w:t>
            </w:r>
          </w:p>
        </w:tc>
      </w:tr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Реальное время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+ SSE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Живые обновления и стриминг AI-ответов.</w:t>
            </w:r>
          </w:p>
        </w:tc>
      </w:tr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3 + Vite + Tailwind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Интерфейс агента и быстрая сборка.</w:t>
            </w:r>
          </w:p>
        </w:tc>
      </w:tr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UI-компоненты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shadcn-vue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Готовые блоки, код которых мы держим у себя.</w:t>
            </w:r>
          </w:p>
        </w:tc>
      </w:tr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Веб-сервер / HTTPS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Caddy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Маршрутизация и автоматический HTTPS.</w:t>
            </w:r>
          </w:p>
        </w:tc>
      </w:tr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Упаковка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Одинаковый запуск сервисов на любой машине.</w:t>
            </w:r>
          </w:p>
        </w:tc>
      </w:tr>
      <w:tr>
        <w:tc>
          <w:tcPr>
            <w:tcW w:type="dxa" w:w="21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270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DDE2EA" w:sz="1"/>
              <w:left w:val="single" w:color="DDE2EA" w:sz="1"/>
              <w:bottom w:val="single" w:color="DDE2EA" w:sz="1"/>
              <w:right w:val="single" w:color="DDE2E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Тесты и выкатка на сервер автоматически.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4. UI / UX</w:t>
      </w:r>
    </w:p>
    <w:p>
      <w:pPr>
        <w:spacing w:after="120" w:line="276"/>
      </w:pPr>
      <w:r>
        <w:t xml:space="preserve">Интерфейс строится на shadcn-vue — бесплатной (MIT) библиотеке, код компонентов которой копируется в наш проект: мы им владеем и свободно стилизуем, без привязки к вендору и без платы. Единый вид держится на слое дизайн-токенов (CSS-переменные); фирменные цвета задаются один раз; есть светлая и тёмная темы.</w:t>
      </w:r>
    </w:p>
    <w:p>
      <w:pPr>
        <w:spacing w:after="120" w:line="276"/>
      </w:pPr>
      <w:r>
        <w:t xml:space="preserve">Чего нет в библиотеке (крупные таблицы, графики, богатый ввод) — строим на «headless»-библиотеках и одеваем в те же токены. Идеи для экранов и эффектов берём из референсов (напр. Refero), перенося в наш стиль. Перед разработкой интерфейса — «дизайн-развилка»: несколько интерпретаций ключевого экрана, руководство выбирает направление, из него собирается брендбук.</w:t>
      </w:r>
    </w:p>
    <w:p>
      <w:pPr>
        <w:pStyle w:val="Heading2"/>
      </w:pPr>
      <w:r>
        <w:t xml:space="preserve">Примеры компонентов shadcn-vue</w:t>
      </w:r>
    </w:p>
    <w:p>
      <w:pPr>
        <w:pStyle w:val="ListParagraph"/>
        <w:numPr>
          <w:ilvl w:val="0"/>
          <w:numId w:val="2"/>
        </w:numPr>
        <w:spacing w:after="70" w:line="268"/>
      </w:pPr>
      <w:hyperlink w:history="1" r:id="rIdjmw566ie4zt1h2lbaw0tb">
        <w:r>
          <w:rPr>
            <w:rStyle w:val="Hyperlink"/>
          </w:rPr>
          <w:t xml:space="preserve">Accordion</w:t>
        </w:r>
      </w:hyperlink>
      <w:r>
        <w:t xml:space="preserve"> — сворачиваемые секции.  (</w:t>
      </w:r>
      <w:hyperlink w:history="1" r:id="rIdgu4ma-oqexrui9nnoh9nl">
        <w:r>
          <w:rPr>
            <w:rStyle w:val="Hyperlink"/>
          </w:rPr>
          <w:t xml:space="preserve">оригинал shadcn/ui</w:t>
        </w:r>
      </w:hyperlink>
      <w:r>
        <w:t xml:space="preserve">)</w:t>
      </w:r>
    </w:p>
    <w:p>
      <w:pPr>
        <w:pStyle w:val="ListParagraph"/>
        <w:numPr>
          <w:ilvl w:val="0"/>
          <w:numId w:val="2"/>
        </w:numPr>
        <w:spacing w:after="70" w:line="268"/>
      </w:pPr>
      <w:hyperlink w:history="1" r:id="rIdn74ytuxeip-uegs7boga1">
        <w:r>
          <w:rPr>
            <w:rStyle w:val="Hyperlink"/>
          </w:rPr>
          <w:t xml:space="preserve">Dialog</w:t>
        </w:r>
      </w:hyperlink>
      <w:r>
        <w:t xml:space="preserve"> — модальные окна.</w:t>
      </w:r>
    </w:p>
    <w:p>
      <w:pPr>
        <w:pStyle w:val="ListParagraph"/>
        <w:numPr>
          <w:ilvl w:val="0"/>
          <w:numId w:val="2"/>
        </w:numPr>
        <w:spacing w:after="70" w:line="268"/>
      </w:pPr>
      <w:hyperlink w:history="1" r:id="rIdhxtgc6vnwzfthhfiau1yx">
        <w:r>
          <w:rPr>
            <w:rStyle w:val="Hyperlink"/>
          </w:rPr>
          <w:t xml:space="preserve">Dropdown Menu</w:t>
        </w:r>
      </w:hyperlink>
      <w:r>
        <w:t xml:space="preserve"> — меню действий.</w:t>
      </w:r>
    </w:p>
    <w:p>
      <w:pPr>
        <w:pStyle w:val="ListParagraph"/>
        <w:numPr>
          <w:ilvl w:val="0"/>
          <w:numId w:val="2"/>
        </w:numPr>
        <w:spacing w:after="70" w:line="268"/>
      </w:pPr>
      <w:hyperlink w:history="1" r:id="rId1bbi62wjblt28rgfl62av">
        <w:r>
          <w:rPr>
            <w:rStyle w:val="Hyperlink"/>
          </w:rPr>
          <w:t xml:space="preserve">Tabs</w:t>
        </w:r>
      </w:hyperlink>
      <w:r>
        <w:t xml:space="preserve"> — переключение вкладок.</w:t>
      </w:r>
    </w:p>
    <w:p>
      <w:pPr>
        <w:pStyle w:val="ListParagraph"/>
        <w:numPr>
          <w:ilvl w:val="0"/>
          <w:numId w:val="2"/>
        </w:numPr>
        <w:spacing w:after="70" w:line="268"/>
      </w:pPr>
      <w:hyperlink w:history="1" r:id="rId6teyk6hhcpcsznnou0dzs">
        <w:r>
          <w:rPr>
            <w:rStyle w:val="Hyperlink"/>
          </w:rPr>
          <w:t xml:space="preserve">Command</w:t>
        </w:r>
      </w:hyperlink>
      <w:r>
        <w:t xml:space="preserve"> — командная палитра / поиск.</w:t>
      </w:r>
    </w:p>
    <w:p>
      <w:pPr>
        <w:pStyle w:val="ListParagraph"/>
        <w:numPr>
          <w:ilvl w:val="0"/>
          <w:numId w:val="2"/>
        </w:numPr>
        <w:spacing w:after="70" w:line="268"/>
      </w:pPr>
      <w:hyperlink w:history="1" r:id="rIdmvyuogu51cqlspmtvdnql">
        <w:r>
          <w:rPr>
            <w:rStyle w:val="Hyperlink"/>
          </w:rPr>
          <w:t xml:space="preserve">Badge</w:t>
        </w:r>
      </w:hyperlink>
      <w:r>
        <w:t xml:space="preserve"> — статус-пилюли и теги.</w:t>
      </w:r>
    </w:p>
    <w:p>
      <w:pPr>
        <w:pStyle w:val="ListParagraph"/>
        <w:numPr>
          <w:ilvl w:val="0"/>
          <w:numId w:val="2"/>
        </w:numPr>
        <w:spacing w:after="70" w:line="268"/>
      </w:pPr>
      <w:hyperlink w:history="1" r:id="rIdwlvx2aazoektzl09a2a_x">
        <w:r>
          <w:rPr>
            <w:rStyle w:val="Hyperlink"/>
          </w:rPr>
          <w:t xml:space="preserve">Card</w:t>
        </w:r>
      </w:hyperlink>
      <w:r>
        <w:t xml:space="preserve"> — контейнеры контента.</w:t>
      </w:r>
    </w:p>
    <w:p>
      <w:pPr>
        <w:spacing w:after="120" w:line="276"/>
      </w:pPr>
      <w:r>
        <w:t xml:space="preserve">Ниже — места под скриншоты (вставь сам, Ctrl+V со страниц):</w:t>
      </w:r>
    </w:p>
    <w:p>
      <w:pPr>
        <w:pBdr>
          <w:left w:val="single" w:color="E0A83D" w:sz="18" w:space="10"/>
        </w:pBdr>
        <w:shd w:fill="FFF8E1" w:val="clear"/>
        <w:spacing w:after="140" w:before="100"/>
      </w:pPr>
      <w:r>
        <w:rPr>
          <w:b/>
          <w:bCs/>
        </w:rPr>
        <w:t xml:space="preserve">[ ВСТАВИТЬ СКРИНШОТ: </w:t>
      </w:r>
      <w:r>
        <w:t xml:space="preserve">галерея компонентов shadcn-vue (общий вид набора).  </w:t>
      </w:r>
      <w:r>
        <w:t xml:space="preserve">Источник: </w:t>
      </w:r>
      <w:hyperlink w:history="1" r:id="rIdc_pxssfncvmenjbgtx9_o">
        <w:r>
          <w:rPr>
            <w:rStyle w:val="Hyperlink"/>
          </w:rPr>
          <w:t xml:space="preserve">https://www.shadcn-vue.com/docs/components/accordion</w:t>
        </w:r>
      </w:hyperlink>
      <w:r>
        <w:t xml:space="preserve"> ]</w:t>
      </w:r>
    </w:p>
    <w:p>
      <w:pPr>
        <w:pBdr>
          <w:left w:val="single" w:color="E0A83D" w:sz="18" w:space="10"/>
        </w:pBdr>
        <w:shd w:fill="FFF8E1" w:val="clear"/>
        <w:spacing w:after="140" w:before="100"/>
      </w:pPr>
      <w:r>
        <w:rPr>
          <w:b/>
          <w:bCs/>
        </w:rPr>
        <w:t xml:space="preserve">[ ВСТАВИТЬ СКРИНШОТ: </w:t>
      </w:r>
      <w:r>
        <w:t xml:space="preserve">пример готового блока-дашборда (Blocks).  </w:t>
      </w:r>
      <w:r>
        <w:t xml:space="preserve">Источник: </w:t>
      </w:r>
      <w:hyperlink w:history="1" r:id="rIdejaeqcil49wxxu3zad5qc">
        <w:r>
          <w:rPr>
            <w:rStyle w:val="Hyperlink"/>
          </w:rPr>
          <w:t xml:space="preserve">https://ui.shadcn.com/blocks</w:t>
        </w:r>
      </w:hyperlink>
      <w:r>
        <w:t xml:space="preserve"> ]</w:t>
      </w:r>
    </w:p>
    <w:p>
      <w:pPr>
        <w:pBdr>
          <w:left w:val="single" w:color="E0A83D" w:sz="18" w:space="10"/>
        </w:pBdr>
        <w:shd w:fill="FFF8E1" w:val="clear"/>
        <w:spacing w:after="140" w:before="100"/>
      </w:pPr>
      <w:r>
        <w:rPr>
          <w:b/>
          <w:bCs/>
        </w:rPr>
        <w:t xml:space="preserve">[ ВСТАВИТЬ СКРИНШОТ: </w:t>
      </w:r>
      <w:r>
        <w:t xml:space="preserve">пример графиков (Charts) для аналитики.  </w:t>
      </w:r>
      <w:r>
        <w:t xml:space="preserve">Источник: </w:t>
      </w:r>
      <w:hyperlink w:history="1" r:id="rIddwupn-d22asuirppqfsg4">
        <w:r>
          <w:rPr>
            <w:rStyle w:val="Hyperlink"/>
          </w:rPr>
          <w:t xml:space="preserve">https://ui.shadcn.com/charts/area</w:t>
        </w:r>
      </w:hyperlink>
      <w:r>
        <w:t xml:space="preserve"> ]</w:t>
      </w:r>
    </w:p>
    <w:p>
      <w:pPr>
        <w:pStyle w:val="Heading1"/>
      </w:pPr>
      <w:r>
        <w:t xml:space="preserve">5. Что уже сделано — планирование и сбор данных</w:t>
      </w:r>
    </w:p>
    <w:p>
      <w:pPr>
        <w:spacing w:after="120" w:line="276"/>
      </w:pPr>
      <w:r>
        <w:t xml:space="preserve">Перед разработкой пройден большой этап проектирования и исследования: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Архитектурные решения — </w:t>
      </w:r>
      <w:r>
        <w:t xml:space="preserve">зафиксировано 28 решений (ADR): язык и фреймворк бэкенда, платформа БД/авторизации, фронтенд и подход к компонентам, деплой, мульти-бренд и др.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Security-разбор — </w:t>
      </w:r>
      <w:r>
        <w:t xml:space="preserve">внешний аудит переоценён под нас: находки разложены на блокеры (до реальных данных), важные фиксы до запуска, инфра-гигиену и комплаенс; заданы инварианты «сделать правильно».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Продуктовый scope — </w:t>
      </w:r>
      <w:r>
        <w:t xml:space="preserve">определён функционал MVP и что выносится на потом.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Конфигурация из Zendesk — </w:t>
      </w:r>
      <w:r>
        <w:t xml:space="preserve">разобрана текущая конфигурация (категории, поля, метки, макросы, автоматизации, роли, маршрутизация, SLA, каналы) — для повторения и миграции через API.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UI-подход — </w:t>
      </w:r>
      <w:r>
        <w:t xml:space="preserve">выбраны shadcn-vue + дизайн-токены; запланирована дизайн-развилка.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База знаний — </w:t>
      </w:r>
      <w:r>
        <w:t xml:space="preserve">документация и дорожная карта собраны в едином репозитории с корневым файлом-индексом.</w:t>
      </w:r>
    </w:p>
    <w:p>
      <w:pPr>
        <w:pStyle w:val="Heading1"/>
      </w:pPr>
      <w:r>
        <w:t xml:space="preserve">6. Дорожная карта</w:t>
      </w:r>
    </w:p>
    <w:p>
      <w:pPr>
        <w:spacing w:after="120" w:line="276"/>
      </w:pPr>
      <w:r>
        <w:t xml:space="preserve">Разработка идёт по фазам. Бэкенд и инфраструктура не зависят от дизайна и могут вестись параллельно с дизайн-развилкой; интерфейс — после выбора дизайна.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A. Дизайн-направление — </w:t>
      </w:r>
      <w:r>
        <w:t xml:space="preserve">варианты ключевого экрана на реальных компонентах (Vue 3 + shadcn-vue); тема через CSS-переменные; выбор → брендбук (дизайн-токены: CSS custom properties + конфиг Tailwind).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B. Основания — </w:t>
      </w:r>
      <w:r>
        <w:t xml:space="preserve">монорепозиторий (api + web). Бэкенд на NestJS (модульная структура, DI). Фронт — Vite + Vue 3 + Tailwind + shadcn-vue. Docker Compose поднимает self-hosted Supabase (Postgres, Auth/GoTrue, Storage) и Redis; Caddy — reverse-proxy с автоматическим TLS (Let's Encrypt). Секреты в .env (в .gitignore) и переменных окружения, без дефолтных паролей. CI на GitHub Actions (линт + тесты).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C. Данные и доступ — </w:t>
      </w:r>
      <w:r>
        <w:t xml:space="preserve">схема БД в Prisma с версионными миграциями; account-scoping (задел мультиарендности) через middleware. Авторизация — Supabase Auth, JWT валидируется в NestJS-guard; поверх — свой RBAC (guards + политики по областям, роли: агент / администратор / супер-админ). Сессия в httpOnly-cookie, базовый CSP.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D. Ядро поддержки — </w:t>
      </w:r>
      <w:r>
        <w:t xml:space="preserve">модули NestJS: conversations, contacts, inboxes, teams, macros, automations, sla, audit. Доступ к данным через Prisma; фоновые операции — BullMQ поверх Redis. Файлы — Supabase Storage с проверкой типа/размера; выгрузки — по ссылкам с истечением; аудит-лог чувствительных действий.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E. Каналы — </w:t>
      </w:r>
      <w:r>
        <w:t xml:space="preserve">API-канал: REST-эндпоинты + входящие вебхуки с проверкой подписи. Веб-виджет: встраиваемый JS-скрипт + WebSocket. Мобильный чат: SDK (iOS/Android) поверх того же API. Email: приём/отправка (IMAP/SMTP или провайдер) с нормализацией писем в тикеты.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F. Реалтайм и фон — </w:t>
      </w:r>
      <w:r>
        <w:t xml:space="preserve">WebSocket-шлюз на NestJS Gateways (socket.io/ws); приватная активность не уходит на клиентские соединения. SSE для стриминга. Воркеры BullMQ + расписания (cron) для регламентных задач.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G. Интерфейс — </w:t>
      </w:r>
      <w:r>
        <w:t xml:space="preserve">применяем токены (light/dark переключением класса на :root); состояние на Pinia; типизированный слой API-клиента. Экраны на shadcn-vue + headless-библиотеки: TanStack Table, виртуализация длинных списков, Tiptap для богатого ввода.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H. Аналитика — </w:t>
      </w:r>
      <w:r>
        <w:t xml:space="preserve">встроенные дашборды на ECharts (vue-echarts), темизированные токенами; агрегаты считаются на бэкенде (SQL / Prisma). Позже — self-hosted Metabase (только чтение, изолированный).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I. Готовность к проду (гейт) — </w:t>
      </w:r>
      <w:r>
        <w:t xml:space="preserve">закрыть security-блокеры; egress allow-list на фаерволе; шифрованные бэкапы Postgres (по расписанию, off-host); скрабинг PII в логах; политика retention. До прохождения гейта реальные данные не заводятся.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J. Миграция из Zendesk — </w:t>
      </w:r>
      <w:r>
        <w:t xml:space="preserve">выгрузка через Zendesk REST API (пагинация): тикеты, пользователи, организации, поля, макросы, триггеры, представления; маппинг в нашу схему; импорт и сверка на staging.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K. AI-фаза (после ядра) — </w:t>
      </w:r>
      <w:r>
        <w:t xml:space="preserve">отдельный сервис: классификация тикетов (категория/подкатегория); подсказки ответов из базы знаний со стримингом (SSE); контроль расходов на модель.</w:t>
      </w:r>
    </w:p>
    <w:p>
      <w:pPr>
        <w:pStyle w:val="Heading1"/>
      </w:pPr>
      <w:r>
        <w:t xml:space="preserve">7. После MVP — расширение</w:t>
      </w:r>
    </w:p>
    <w:p>
      <w:pPr>
        <w:spacing w:after="120" w:line="276"/>
      </w:pPr>
      <w:r>
        <w:t xml:space="preserve">MVP — прочная основа. Архитектура модульная, API-ориентированная и white-label, поэтому легко наращивается: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Новые каналы — </w:t>
      </w:r>
      <w:r>
        <w:t xml:space="preserve">WhatsApp, Telegram и другие мессенджеры/соцсети сверх стартового набора.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Глубже Zendesk — </w:t>
      </w:r>
      <w:r>
        <w:t xml:space="preserve">любые дополнительные фичи/настройки Zendesk по мере надобности.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Самообслуживание и оценка — </w:t>
      </w:r>
      <w:r>
        <w:t xml:space="preserve">база знаний / help-center и опросы удовлетворённости (CSAT).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AI-функции — </w:t>
      </w:r>
      <w:r>
        <w:t xml:space="preserve">авто-классификация тикетов и подсказки ответов из базы знаний.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Интеграции — </w:t>
      </w:r>
      <w:r>
        <w:t xml:space="preserve">связки с другими внутренними системами через API и вебхуки.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Дополнительные бренды — </w:t>
      </w:r>
      <w:r>
        <w:t xml:space="preserve">новые внутренние бренды, у каждого своя тема, на той же платформе.</w:t>
      </w:r>
    </w:p>
    <w:p>
      <w:pPr>
        <w:spacing w:after="120" w:line="276"/>
      </w:pPr>
      <w:r>
        <w:t xml:space="preserve">Итог: MVP — фундамент; фичи и интеграции (из Zendesk или новые) добавляются поверх без переделки.</w:t>
      </w:r>
    </w:p>
    <w:p>
      <w:pPr>
        <w:pBdr>
          <w:bottom w:val="single" w:color="D9DEE7" w:sz="6" w:space="1"/>
        </w:pBdr>
        <w:spacing w:after="160"/>
      </w:pPr>
      <w:r>
        <w:t xml:space="preserve"/>
      </w:r>
    </w:p>
    <w:p>
      <w:r>
        <w:rPr>
          <w:i/>
          <w:iCs/>
          <w:color w:val="6B7280"/>
          <w:sz w:val="18"/>
          <w:szCs w:val="18"/>
        </w:rPr>
        <w:t xml:space="preserve">Обзор для проектной команды. Полная техническая детализация — в проектной базе знаний.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Support-CRM — архитектура  ·  стр.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mw566ie4zt1h2lbaw0tb" Type="http://schemas.openxmlformats.org/officeDocument/2006/relationships/hyperlink" Target="https://www.shadcn-vue.com/docs/components/accordion" TargetMode="External"/><Relationship Id="rIdgu4ma-oqexrui9nnoh9nl" Type="http://schemas.openxmlformats.org/officeDocument/2006/relationships/hyperlink" Target="https://ui.shadcn.com/docs/components/base/accordion" TargetMode="External"/><Relationship Id="rIdn74ytuxeip-uegs7boga1" Type="http://schemas.openxmlformats.org/officeDocument/2006/relationships/hyperlink" Target="https://www.shadcn-vue.com/docs/components/dialog" TargetMode="External"/><Relationship Id="rIdhxtgc6vnwzfthhfiau1yx" Type="http://schemas.openxmlformats.org/officeDocument/2006/relationships/hyperlink" Target="https://www.shadcn-vue.com/docs/components/dropdown-menu" TargetMode="External"/><Relationship Id="rId1bbi62wjblt28rgfl62av" Type="http://schemas.openxmlformats.org/officeDocument/2006/relationships/hyperlink" Target="https://www.shadcn-vue.com/docs/components/tabs" TargetMode="External"/><Relationship Id="rId6teyk6hhcpcsznnou0dzs" Type="http://schemas.openxmlformats.org/officeDocument/2006/relationships/hyperlink" Target="https://www.shadcn-vue.com/docs/components/command" TargetMode="External"/><Relationship Id="rIdmvyuogu51cqlspmtvdnql" Type="http://schemas.openxmlformats.org/officeDocument/2006/relationships/hyperlink" Target="https://www.shadcn-vue.com/docs/components/badge" TargetMode="External"/><Relationship Id="rIdwlvx2aazoektzl09a2a_x" Type="http://schemas.openxmlformats.org/officeDocument/2006/relationships/hyperlink" Target="https://www.shadcn-vue.com/docs/components/card" TargetMode="External"/><Relationship Id="rIdc_pxssfncvmenjbgtx9_o" Type="http://schemas.openxmlformats.org/officeDocument/2006/relationships/hyperlink" Target="https://www.shadcn-vue.com/docs/components/accordion" TargetMode="External"/><Relationship Id="rIdejaeqcil49wxxu3zad5qc" Type="http://schemas.openxmlformats.org/officeDocument/2006/relationships/hyperlink" Target="https://ui.shadcn.com/blocks" TargetMode="External"/><Relationship Id="rIddwupn-d22asuirppqfsg4" Type="http://schemas.openxmlformats.org/officeDocument/2006/relationships/hyperlink" Target="https://ui.shadcn.com/charts/area" TargetMode="External"/><Relationship Id="rId8" Type="http://schemas.openxmlformats.org/officeDocument/2006/relationships/image" Target="media/be87ed20152a24d65bd2c141d40d7dc265e46731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2026-07-10T15:07:59.218Z</dcterms:created>
  <dcterms:modified xsi:type="dcterms:W3CDTF">2026-07-10T15:07:59.219Z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