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Objective Questions Answers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There were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missing values in the column Cuisines. After removing them, left with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9542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records.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Used the Vlookup function and filled in the countries in the original Dataset using Country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Table representing the number of Restaurants in each Country.</w:t>
        <w:br w:type="textWrapping"/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</w:rPr>
        <w:drawing>
          <wp:inline distB="114300" distT="114300" distL="114300" distR="114300">
            <wp:extent cx="2224088" cy="362941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3629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The number of restaurants opened has increased over the years.</w:t>
        <w:br w:type="textWrapping"/>
        <w:t xml:space="preserve">Table representing number of Restaurants in each year</w:t>
        <w:br w:type="textWrapping"/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</w:rPr>
        <w:drawing>
          <wp:inline distB="19050" distT="19050" distL="19050" distR="19050">
            <wp:extent cx="4866012" cy="22708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012" cy="227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388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Restaurants in India with a price range of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Table representing the average number of votes in each country.</w:t>
        <w:br w:type="textWrapping"/>
      </w: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</w:rPr>
        <w:drawing>
          <wp:inline distB="19050" distT="19050" distL="19050" distR="19050">
            <wp:extent cx="5562600" cy="283042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30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Rule="auto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Subjective Question Answers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This table represents country-wise average ratings, the number of restaurants, the average number of votes, and the average cost for two in each country.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before="200" w:lineRule="auto"/>
        <w:ind w:left="1440" w:hanging="36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Based on the data in the table, there are the highest number of restaurants in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India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but the average rating of the restaurants is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2.8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which is comparatively less and with an average of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137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votes.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before="20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Representing the count of restaurants in descending order, we see there are only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4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restaurants in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Canada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with an average rating of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3.6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20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Similarly, In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Sri Lanka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 Singapore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, there are only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20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restaurants with an average rating of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3.9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3.6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200" w:lineRule="auto"/>
        <w:ind w:left="144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Australia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, there are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24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restaurants with an average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rtl w:val="0"/>
        </w:rPr>
        <w:t xml:space="preserve">3.7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rating and the average cost for two is high.</w:t>
      </w:r>
    </w:p>
    <w:p w:rsidR="00000000" w:rsidDel="00000000" w:rsidP="00000000" w:rsidRDefault="00000000" w:rsidRPr="00000000" w14:paraId="0000000F">
      <w:pPr>
        <w:spacing w:after="200" w:before="200" w:lineRule="auto"/>
        <w:ind w:left="0" w:firstLine="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ab/>
        <w:t xml:space="preserve">Analyzing the above condition, there are 5 suggested countries where</w:t>
        <w:br w:type="textWrapping"/>
        <w:t xml:space="preserve"> we can set up new restaurants. Those are India, Canada, Australia, Sri Lanka and Singapore.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Suggested cities based on ratings in descending order are mentioned in the sheet.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Copy2 Zomato_Data.xlsx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Calculated average ratings for each restaurant in the suggested countries.</w:t>
        <w:br w:type="textWrapping"/>
        <w:t xml:space="preserve">Segregated restaurants into poor, intermediate, and good quality based on the following conditions.</w:t>
      </w:r>
    </w:p>
    <w:tbl>
      <w:tblPr>
        <w:tblStyle w:val="Table1"/>
        <w:tblW w:w="4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835"/>
        <w:tblGridChange w:id="0">
          <w:tblGrid>
            <w:gridCol w:w="2055"/>
            <w:gridCol w:w="28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Ratings &gt; 4.0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 quality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 &lt;= Ratings &lt;= 4.0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Moderate quality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Ratings &lt; 3.5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Poor quality</w:t>
            </w:r>
          </w:p>
        </w:tc>
      </w:tr>
    </w:tbl>
    <w:p w:rsidR="00000000" w:rsidDel="00000000" w:rsidP="00000000" w:rsidRDefault="00000000" w:rsidRPr="00000000" w14:paraId="00000018">
      <w:pPr>
        <w:spacing w:after="200" w:before="200" w:lineRule="auto"/>
        <w:ind w:left="0" w:firstLine="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Mentioned in the following sheet.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Copy2 Zomato_Data.xlsx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4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835"/>
        <w:tblGridChange w:id="0">
          <w:tblGrid>
            <w:gridCol w:w="2055"/>
            <w:gridCol w:w="28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657ba3" w:space="0" w:sz="18" w:val="single"/>
              <w:right w:color="cccccc" w:space="0" w:sz="4" w:val="single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657ba3" w:space="0" w:sz="18" w:val="single"/>
              <w:right w:color="cccccc" w:space="0" w:sz="4" w:val="single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COUNTA of RestaurantName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 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Moderate 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18" w:val="single"/>
              <w:right w:color="ffffff" w:space="0" w:sz="4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Poor Quality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8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4665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6661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Current expenditures on food in the suggested countries are mentioned below.</w:t>
        <w:br w:type="textWrapping"/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</w:rPr>
        <w:drawing>
          <wp:inline distB="114300" distT="114300" distL="114300" distR="114300">
            <wp:extent cx="3214688" cy="3276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Names of the restaurants from the recommended countries that are competitors are those restaurants whose ratings &gt;= 4.4.</w:t>
        <w:br w:type="textWrapping"/>
        <w:t xml:space="preserve">Mentioned in the 3rd table in the following sheet.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Copy2 Zomato_Data.xlsx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ind w:left="720" w:firstLine="0"/>
        <w:rPr>
          <w:rFonts w:ascii="Spectral Medium" w:cs="Spectral Medium" w:eastAsia="Spectral Medium" w:hAnsi="Spectral Medium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Names of the Restaurants in the rating group 1-2 or 2-3 are mentioned in the 1st table of the same sheet.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There are 603 selected cuisines with more than 4.0 ratings in the 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suggested</w:t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 countries. Removing all the duplicates of cuisines, we can focus on 126 unique cuisines in our new restaurants to get better feedback.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200" w:line="276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Analyzing the following table, 26% of restaurants offer online delivery with an average rating of 3.3, whereas 74% of restaurants that don’t offer online delivery have a 2.8 rating.</w:t>
        <w:br w:type="textWrapping"/>
        <w:t xml:space="preserve">Comparing ratings, restaurants with online delivery have better ratings.</w:t>
        <w:br w:type="textWrapping"/>
        <w:t xml:space="preserve">Similarly, 12% of restaurants offering table booking have better ratings than 88% of restaurants that don’t provide the same service.</w:t>
      </w:r>
    </w:p>
    <w:tbl>
      <w:tblPr>
        <w:tblStyle w:val="Table3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560"/>
        <w:gridCol w:w="1440"/>
        <w:gridCol w:w="1500"/>
        <w:gridCol w:w="2130"/>
        <w:tblGridChange w:id="0">
          <w:tblGrid>
            <w:gridCol w:w="1875"/>
            <w:gridCol w:w="1560"/>
            <w:gridCol w:w="1440"/>
            <w:gridCol w:w="1500"/>
            <w:gridCol w:w="21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4. Count of restaurants offering online delivery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Count of restaurants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Online_delivery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% of restaurants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Average ratings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Comparison of ratings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2451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25.69%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7091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74.31%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5. Count of restaurants offering table booking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Count of restaurants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Table booking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% of restaurants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Average ratings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Comparison of ratings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1158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12.14%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0.7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8384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87.86%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before="200" w:lineRule="auto"/>
              <w:jc w:val="right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Fonts w:ascii="Spectral Medium" w:cs="Spectral Medium" w:eastAsia="Spectral Medium" w:hAnsi="Spectral Medium"/>
                <w:sz w:val="24"/>
                <w:szCs w:val="24"/>
                <w:rtl w:val="0"/>
              </w:rPr>
              <w:t xml:space="preserve">2.8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before="200" w:lineRule="auto"/>
              <w:rPr>
                <w:rFonts w:ascii="Spectral Medium" w:cs="Spectral Medium" w:eastAsia="Spectral Medium" w:hAnsi="Spectral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There is a positive correlation between rates of cuisine and ratings.</w:t>
        <w:br w:type="textWrapping"/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</w:rPr>
        <w:drawing>
          <wp:inline distB="114300" distT="114300" distL="114300" distR="114300">
            <wp:extent cx="3724275" cy="523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200" w:lineRule="auto"/>
        <w:ind w:left="720" w:hanging="36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 Medium" w:cs="Spectral Medium" w:eastAsia="Spectral Medium" w:hAnsi="Spectral Medium"/>
          <w:sz w:val="24"/>
          <w:szCs w:val="24"/>
          <w:rtl w:val="0"/>
        </w:rPr>
        <w:t xml:space="preserve">Distribution of number of restaurants of different price ranges in all other countries.</w:t>
        <w:br w:type="textWrapping"/>
      </w:r>
      <w:r w:rsidDel="00000000" w:rsidR="00000000" w:rsidRPr="00000000">
        <w:rPr>
          <w:rFonts w:ascii="Spectral" w:cs="Spectral" w:eastAsia="Spectral" w:hAnsi="Spectral"/>
          <w:sz w:val="26"/>
          <w:szCs w:val="26"/>
        </w:rPr>
        <w:drawing>
          <wp:inline distB="114300" distT="114300" distL="114300" distR="114300">
            <wp:extent cx="5085379" cy="3049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379" cy="304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pectral" w:cs="Spectral" w:eastAsia="Spectral" w:hAnsi="Spectral"/>
          <w:sz w:val="26"/>
          <w:szCs w:val="26"/>
          <w:rtl w:val="0"/>
        </w:rPr>
        <w:br w:type="textWrapping"/>
      </w:r>
      <w:r w:rsidDel="00000000" w:rsidR="00000000" w:rsidRPr="00000000">
        <w:rPr>
          <w:rFonts w:ascii="Spectral" w:cs="Spectral" w:eastAsia="Spectral" w:hAnsi="Spectral"/>
          <w:sz w:val="26"/>
          <w:szCs w:val="26"/>
        </w:rPr>
        <w:drawing>
          <wp:inline distB="114300" distT="114300" distL="114300" distR="114300">
            <wp:extent cx="5283502" cy="3264888"/>
            <wp:effectExtent b="0" l="0" r="0" t="0"/>
            <wp:docPr descr="Chart" id="7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502" cy="326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Rule="auto"/>
        <w:ind w:left="0" w:firstLine="0"/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Rule="auto"/>
        <w:ind w:left="720" w:firstLine="0"/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Spectral" w:cs="Spectral" w:eastAsia="Spectral" w:hAnsi="Spectral"/>
          <w:sz w:val="26"/>
          <w:szCs w:val="26"/>
        </w:rPr>
      </w:pPr>
      <w:r w:rsidDel="00000000" w:rsidR="00000000" w:rsidRPr="00000000">
        <w:rPr>
          <w:rFonts w:ascii="Spectral" w:cs="Spectral" w:eastAsia="Spectral" w:hAnsi="Spectral"/>
          <w:sz w:val="26"/>
          <w:szCs w:val="26"/>
          <w:rtl w:val="0"/>
        </w:rPr>
        <w:br w:type="textWrapping"/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4fqVRY31Vqfy5HDVGMrjhvAqiRsSexf0/edit#gid=820090315" TargetMode="External"/><Relationship Id="rId10" Type="http://schemas.openxmlformats.org/officeDocument/2006/relationships/hyperlink" Target="https://docs.google.com/spreadsheets/d/14fqVRY31Vqfy5HDVGMrjhvAqiRsSexf0/edit#gid=574700032" TargetMode="External"/><Relationship Id="rId13" Type="http://schemas.openxmlformats.org/officeDocument/2006/relationships/hyperlink" Target="https://docs.google.com/spreadsheets/d/14fqVRY31Vqfy5HDVGMrjhvAqiRsSexf0/edit#gid=918373456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