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Calibri" w:hAnsi="Calibri"/>
          <w:b/>
          <w:color w:val="0F172A"/>
          <w:sz w:val="26"/>
        </w:rPr>
        <w:t>PROJECT TECHNICAL REPORT: GEARGUARD AI COCKPIT</w:t>
      </w:r>
    </w:p>
    <w:p>
      <w:pPr>
        <w:spacing w:before="0" w:after="120" w:line="276" w:lineRule="auto"/>
        <w:jc w:val="center"/>
      </w:pPr>
      <w:r>
        <w:rPr>
          <w:rFonts w:ascii="Calibri" w:hAnsi="Calibri"/>
          <w:b w:val="0"/>
          <w:color w:val="475569"/>
          <w:sz w:val="16"/>
        </w:rPr>
        <w:t>Autonomous Predictive Intelligence for Industrial Failure Prevention and RUL Prognostics</w:t>
        <w:br/>
        <w:t>Submitted by: Puja R (2403717672622039) &amp; Rakshita N (2403717672622040) | Dept. of Software Systems, CIT (2025–2026)</w:t>
      </w:r>
    </w:p>
    <w:p>
      <w:pPr>
        <w:spacing w:before="0" w:after="60" w:line="276" w:lineRule="auto"/>
      </w:pPr>
      <w:r>
        <w:rPr>
          <w:rFonts w:ascii="Calibri" w:hAnsi="Calibri"/>
          <w:b/>
          <w:color w:val="0369A1"/>
          <w:sz w:val="20"/>
        </w:rPr>
        <w:t>PAGE 1 — DATASET DESCRIPTIONS &amp; PREPROCESSING</w:t>
      </w:r>
    </w:p>
    <w:p>
      <w:pPr>
        <w:spacing w:before="0" w:after="40" w:line="276" w:lineRule="auto"/>
      </w:pPr>
      <w:r>
        <w:rPr>
          <w:rFonts w:ascii="Calibri" w:hAnsi="Calibri"/>
          <w:color w:val="1E293B"/>
          <w:sz w:val="16"/>
        </w:rPr>
        <w:t>GearGuard is trained, evaluated, and validated using three distinct industrial datasets covering tabular sensor telemetry, temporal run-to-failure cycles, and optical surface defect imagery:</w:t>
      </w:r>
    </w:p>
    <w:p>
      <w:pPr>
        <w:spacing w:before="0" w:after="20" w:line="276" w:lineRule="auto"/>
      </w:pPr>
      <w:r>
        <w:rPr>
          <w:rFonts w:ascii="Calibri" w:hAnsi="Calibri"/>
          <w:b/>
          <w:color w:val="0F172A"/>
          <w:sz w:val="17"/>
        </w:rPr>
        <w:t>1. Telemetry Diagnostic Dataset: UCI AI4I 2020 Predictive Maintenance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Source &amp; Scale: </w:t>
      </w:r>
      <w:r>
        <w:rPr>
          <w:rFonts w:ascii="Calibri" w:hAnsi="Calibri"/>
          <w:color w:val="1E293B"/>
          <w:sz w:val="16"/>
        </w:rPr>
        <w:t>Real-world high-precision CNC milling machine telemetry, published via UCI Machine Learning Repository; contains 10,000 operational records.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Target Variable: </w:t>
      </w:r>
      <w:r>
        <w:rPr>
          <w:rFonts w:ascii="Calibri" w:hAnsi="Calibri"/>
          <w:color w:val="1E293B"/>
          <w:sz w:val="16"/>
        </w:rPr>
        <w:t>Machine failure (0 = Normal Operation, 1 = Imminent Failure).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Severe Class Imbalance: </w:t>
      </w:r>
      <w:r>
        <w:rPr>
          <w:rFonts w:ascii="Calibri" w:hAnsi="Calibri"/>
          <w:color w:val="1E293B"/>
          <w:sz w:val="16"/>
        </w:rPr>
        <w:t>Normal operations: 9,661 samples (96.61%); Failures: 339 samples (3.39%).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Feature Schema: </w:t>
      </w:r>
      <w:r>
        <w:rPr>
          <w:rFonts w:ascii="Calibri" w:hAnsi="Calibri"/>
          <w:color w:val="1E293B"/>
          <w:sz w:val="16"/>
        </w:rPr>
        <w:t>Air Temperature [295.3 to 304.5 K], Process Temperature [305.7 to 313.8 K], Spindle Speed [1,168 to 2,886 rpm], Cutting Torque [3.8 to 76.6 Nm], Tool Wear [0 to 253 min], Machine Type Grade (L: 50%, M: 30%, H: 20%).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Modeled Failure Modes: </w:t>
      </w:r>
      <w:r>
        <w:rPr>
          <w:rFonts w:ascii="Calibri" w:hAnsi="Calibri"/>
          <w:color w:val="1E293B"/>
          <w:sz w:val="16"/>
        </w:rPr>
        <w:t>Tool Wear Failure (TWF), Heat Dissipation Failure (HDF), Power Failure (PWF), Overstrain Failure (OSF).</w:t>
      </w:r>
    </w:p>
    <w:p>
      <w:pPr>
        <w:spacing w:before="0" w:after="20" w:line="276" w:lineRule="auto"/>
      </w:pPr>
      <w:r>
        <w:rPr>
          <w:rFonts w:ascii="Calibri" w:hAnsi="Calibri"/>
          <w:b/>
          <w:color w:val="0F172A"/>
          <w:sz w:val="17"/>
        </w:rPr>
        <w:t>2. Time-Series Prognostic Dataset: NASA C-MAPSS Turbomachinery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Source &amp; Scale: </w:t>
      </w:r>
      <w:r>
        <w:rPr>
          <w:rFonts w:ascii="Calibri" w:hAnsi="Calibri"/>
          <w:color w:val="1E293B"/>
          <w:sz w:val="16"/>
        </w:rPr>
        <w:t>Commercial Modular Aero-Propulsion System Simulation (FD001 sub-dataset) by NASA Prognostics Center of Excellence; records run-to-failure cycles across 100 industrial rotary engine units.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Target Variable: </w:t>
      </w:r>
      <w:r>
        <w:rPr>
          <w:rFonts w:ascii="Calibri" w:hAnsi="Calibri"/>
          <w:color w:val="1E293B"/>
          <w:sz w:val="16"/>
        </w:rPr>
        <w:t>Continuous Remaining Useful Life (RUL) in operational machine cycles.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Telemetry Channels (8 High-Variance Features): </w:t>
      </w:r>
      <w:r>
        <w:rPr>
          <w:rFonts w:ascii="Calibri" w:hAnsi="Calibri"/>
          <w:color w:val="1E293B"/>
          <w:sz w:val="16"/>
        </w:rPr>
        <w:t>Filtered from 21 channels: LPC Outlet Temp (s2), HPC Outlet Temp (s3), LPT Exhaust Temp (s4), HPC Outlet Pressure (s7), Spindle Speed (s8), Combustor Static Pressure (s11), Fuel-to-Ps30 ratio (s12), Bypass Ratio (s15).</w:t>
      </w:r>
    </w:p>
    <w:p>
      <w:pPr>
        <w:spacing w:before="0" w:after="20" w:line="276" w:lineRule="auto"/>
      </w:pPr>
      <w:r>
        <w:rPr>
          <w:rFonts w:ascii="Calibri" w:hAnsi="Calibri"/>
          <w:b/>
          <w:color w:val="0F172A"/>
          <w:sz w:val="17"/>
        </w:rPr>
        <w:t>3. Edge Computer Vision Defect Dataset: NEU Surface &amp; Shop-Floor Components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Source &amp; Inspected Components: </w:t>
      </w:r>
      <w:r>
        <w:rPr>
          <w:rFonts w:ascii="Calibri" w:hAnsi="Calibri"/>
          <w:color w:val="1E293B"/>
          <w:sz w:val="16"/>
        </w:rPr>
        <w:t>NEU Surface Defect Database combined with shop-floor CNC carbide tool inserts, high-speed end mills, heavy-duty conveyor belts, and hydraulic valve lines.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Defect Classes: </w:t>
      </w:r>
      <w:r>
        <w:rPr>
          <w:rFonts w:ascii="Calibri" w:hAnsi="Calibri"/>
          <w:color w:val="1E293B"/>
          <w:sz w:val="16"/>
        </w:rPr>
        <w:t>Blade chipping/cracking, flank crater wear, longitudinal conveyor rubber tears, and high-pressure fluid leaks.</w:t>
      </w:r>
    </w:p>
    <w:p>
      <w:pPr>
        <w:spacing w:before="0" w:after="20" w:line="276" w:lineRule="auto"/>
      </w:pPr>
      <w:r>
        <w:rPr>
          <w:rFonts w:ascii="Calibri" w:hAnsi="Calibri"/>
          <w:b/>
          <w:color w:val="0F172A"/>
          <w:sz w:val="17"/>
        </w:rPr>
        <w:t>4. Data Preprocessing &amp; Leakage Prevention Strategy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Stratified 80/20 Train/Test Split: </w:t>
      </w:r>
      <w:r>
        <w:rPr>
          <w:rFonts w:ascii="Calibri" w:hAnsi="Calibri"/>
          <w:color w:val="1E293B"/>
          <w:sz w:val="16"/>
        </w:rPr>
        <w:t>Applied stratified sampling across the 3.39% minority class, yielding 8,000 training samples and 2,000 independent test samples.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Unit-Based Temporal Partitioning: </w:t>
      </w:r>
      <w:r>
        <w:rPr>
          <w:rFonts w:ascii="Calibri" w:hAnsi="Calibri"/>
          <w:color w:val="1E293B"/>
          <w:sz w:val="16"/>
        </w:rPr>
        <w:t>C-MAPSS time series split strictly by engine unit ID (Units 1–80 train, Units 81–100 test), eliminating temporal leakage across sliding horizons.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StandardScaler Normalization: </w:t>
      </w:r>
      <w:r>
        <w:rPr>
          <w:rFonts w:ascii="Calibri" w:hAnsi="Calibri"/>
          <w:color w:val="1E293B"/>
          <w:sz w:val="16"/>
        </w:rPr>
        <w:t>Continuous inputs standardized to mean=0, std=1; parameters fitted strictly on training data and frozen for test sets.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Categorical Encoding: </w:t>
      </w:r>
      <w:r>
        <w:rPr>
          <w:rFonts w:ascii="Calibri" w:hAnsi="Calibri"/>
          <w:color w:val="1E293B"/>
          <w:sz w:val="16"/>
        </w:rPr>
        <w:t>Machine variant ordinally mapped: L -&gt; 0, M -&gt; 1, H -&gt; 2.</w:t>
      </w:r>
    </w:p>
    <w:p>
      <w:r>
        <w:br w:type="page"/>
      </w:r>
    </w:p>
    <w:p>
      <w:pPr>
        <w:spacing w:before="0" w:after="60" w:line="276" w:lineRule="auto"/>
      </w:pPr>
      <w:r>
        <w:rPr>
          <w:rFonts w:ascii="Calibri" w:hAnsi="Calibri"/>
          <w:b/>
          <w:color w:val="0369A1"/>
          <w:sz w:val="20"/>
        </w:rPr>
        <w:t>PAGE 2 — SYSTEM MODULES &amp; ALGORITHMS USED IN EACH MODULE</w:t>
      </w:r>
    </w:p>
    <w:p>
      <w:pPr>
        <w:spacing w:before="0" w:after="40" w:line="276" w:lineRule="auto"/>
      </w:pPr>
      <w:r>
        <w:rPr>
          <w:rFonts w:ascii="Calibri" w:hAnsi="Calibri"/>
          <w:color w:val="1E293B"/>
          <w:sz w:val="16"/>
        </w:rPr>
        <w:t>GearGuard operates as a Hybrid Diagnostic-Prognostic Pipeline integrating four collaborative intelligence modules:</w:t>
      </w:r>
    </w:p>
    <w:p>
      <w:pPr>
        <w:spacing w:before="0" w:after="20" w:line="276" w:lineRule="auto"/>
      </w:pPr>
      <w:r>
        <w:rPr>
          <w:rFonts w:ascii="Calibri" w:hAnsi="Calibri"/>
          <w:b/>
          <w:color w:val="0F172A"/>
          <w:sz w:val="17"/>
        </w:rPr>
        <w:t>System Architecture Flow:</w:t>
      </w:r>
    </w:p>
    <w:p>
      <w:pPr>
        <w:spacing w:before="0" w:after="40" w:line="276" w:lineRule="auto"/>
      </w:pPr>
      <w:r>
        <w:rPr>
          <w:rFonts w:ascii="Calibri" w:hAnsi="Calibri"/>
          <w:color w:val="1E293B"/>
          <w:sz w:val="16"/>
        </w:rPr>
        <w:t>Multimodal Ingestion (Telemetry + Cameras)  ──&gt;  [Module 1: XGBoost] &amp; [Module 2: LSTM] &amp; [Module 3: MobileNet-V3]  ──&gt;  [Module 4: SHAP HealthEngine &amp; Automated Work Orders]</w:t>
      </w:r>
    </w:p>
    <w:p>
      <w:pPr>
        <w:spacing w:before="0" w:after="20" w:line="276" w:lineRule="auto"/>
      </w:pPr>
      <w:r>
        <w:rPr>
          <w:rFonts w:ascii="Calibri" w:hAnsi="Calibri"/>
          <w:b/>
          <w:color w:val="0F172A"/>
          <w:sz w:val="17"/>
        </w:rPr>
        <w:t>Module 1: Real-Time Diagnostic Failure Classifier (XGBoost)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Algorithmic Technique: </w:t>
      </w:r>
      <w:r>
        <w:rPr>
          <w:rFonts w:ascii="Calibri" w:hAnsi="Calibri"/>
          <w:color w:val="1E293B"/>
          <w:sz w:val="16"/>
        </w:rPr>
        <w:t>Extreme Gradient Boosting (XGBoost) ensemble of 150 decision trees optimizing 2nd-order Taylor expansion gradients of negative log-likelihood loss: L(t) ≈ Σ [l(yi, y_hat) + gi*ft + 0.5*hi*ft^2] + Ω(ft).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Why Chosen: </w:t>
      </w:r>
      <w:r>
        <w:rPr>
          <w:rFonts w:ascii="Calibri" w:hAnsi="Calibri"/>
          <w:color w:val="1E293B"/>
          <w:sz w:val="16"/>
        </w:rPr>
        <w:t>Natively captures non-linear feature interactions (e.g. Power = Torque x Speed, ΔT = T_process - T_air) with sub-20ms inference latency without manual polynomial expansion.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Class Imbalance Handling: </w:t>
      </w:r>
      <w:r>
        <w:rPr>
          <w:rFonts w:ascii="Calibri" w:hAnsi="Calibri"/>
          <w:color w:val="1E293B"/>
          <w:sz w:val="16"/>
        </w:rPr>
        <w:t>scale_pos_weight = 27.5 (N_negative / N_positive) to penalize False Negatives (missed failures).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Hyperparameters: </w:t>
      </w:r>
      <w:r>
        <w:rPr>
          <w:rFonts w:ascii="Calibri" w:hAnsi="Calibri"/>
          <w:color w:val="1E293B"/>
          <w:sz w:val="16"/>
        </w:rPr>
        <w:t>n_estimators=150, max_depth=5, learning_rate=0.05, eval_metric='logloss'.</w:t>
      </w:r>
    </w:p>
    <w:p>
      <w:pPr>
        <w:spacing w:before="0" w:after="20" w:line="276" w:lineRule="auto"/>
      </w:pPr>
      <w:r>
        <w:rPr>
          <w:rFonts w:ascii="Calibri" w:hAnsi="Calibri"/>
          <w:b/>
          <w:color w:val="0F172A"/>
          <w:sz w:val="17"/>
        </w:rPr>
        <w:t>Module 2: Prognostic Remaining Useful Life Regressor (Stacked LSTM)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Algorithmic Technique: </w:t>
      </w:r>
      <w:r>
        <w:rPr>
          <w:rFonts w:ascii="Calibri" w:hAnsi="Calibri"/>
          <w:color w:val="1E293B"/>
          <w:sz w:val="16"/>
        </w:rPr>
        <w:t>Deep Learning Stacked Long Short-Term Memory (LSTM) recurrent neural network with temporal gating mechanisms (forget ft, input it, and output ot gates).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Why Chosen: </w:t>
      </w:r>
      <w:r>
        <w:rPr>
          <w:rFonts w:ascii="Calibri" w:hAnsi="Calibri"/>
          <w:color w:val="1E293B"/>
          <w:sz w:val="16"/>
        </w:rPr>
        <w:t>Unlike static ML models, LSTM maintains internal cell state Ct across 20-step sliding horizons, capturing non-linear cumulative mechanical wear and fatigue velocity over time.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Network Architecture: </w:t>
      </w:r>
      <w:r>
        <w:rPr>
          <w:rFonts w:ascii="Calibri" w:hAnsi="Calibri"/>
          <w:color w:val="1E293B"/>
          <w:sz w:val="16"/>
        </w:rPr>
        <w:t>Input: (20 steps, 8 sensors) FIFO buffer -&gt; LSTM(64 units, return_seq=True) -&gt; Dropout(0.20) + BatchNorm -&gt; LSTM(32 units, return_seq=False) -&gt; Dense(16, ReLU) -&gt; Dense(1, Linear) emitting predicted RUL.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Optimization: </w:t>
      </w:r>
      <w:r>
        <w:rPr>
          <w:rFonts w:ascii="Calibri" w:hAnsi="Calibri"/>
          <w:color w:val="1E293B"/>
          <w:sz w:val="16"/>
        </w:rPr>
        <w:t>Adam optimizer (lr=0.005), Loss: Mean Squared Error (MSE), Evaluation: Mean Absolute Error (MAE).</w:t>
      </w:r>
    </w:p>
    <w:p>
      <w:pPr>
        <w:spacing w:before="0" w:after="20" w:line="276" w:lineRule="auto"/>
      </w:pPr>
      <w:r>
        <w:rPr>
          <w:rFonts w:ascii="Calibri" w:hAnsi="Calibri"/>
          <w:b/>
          <w:color w:val="0F172A"/>
          <w:sz w:val="17"/>
        </w:rPr>
        <w:t>Module 3: Multimodal Edge Computer Vision Inspection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Algorithmic Technique: </w:t>
      </w:r>
      <w:r>
        <w:rPr>
          <w:rFonts w:ascii="Calibri" w:hAnsi="Calibri"/>
          <w:color w:val="1E293B"/>
          <w:sz w:val="16"/>
        </w:rPr>
        <w:t>Transfer Learning (PyTorch MobileNet-V3 Small, 2.5M params) combined with morphological spatial edge filtering.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Why Chosen: </w:t>
      </w:r>
      <w:r>
        <w:rPr>
          <w:rFonts w:ascii="Calibri" w:hAnsi="Calibri"/>
          <w:color w:val="1E293B"/>
          <w:sz w:val="16"/>
        </w:rPr>
        <w:t>Ultra-lightweight edge inference with sub-15ms execution on edge gateways without cloud dependency.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Dual-Stage Pipeline: </w:t>
      </w:r>
      <w:r>
        <w:rPr>
          <w:rFonts w:ascii="Calibri" w:hAnsi="Calibri"/>
          <w:color w:val="1E293B"/>
          <w:sz w:val="16"/>
        </w:rPr>
        <w:t>1) Target Validation: MobileNet-V3 verifies valid industrial machinery and rejects non-industrial clutter (94%+ conf). 2) Defect Extraction: Sobel fracture edge density (crack/tear detection) and dark-ratio pooling (oil leak detection).</w:t>
      </w:r>
    </w:p>
    <w:p>
      <w:pPr>
        <w:spacing w:before="0" w:after="20" w:line="276" w:lineRule="auto"/>
      </w:pPr>
      <w:r>
        <w:rPr>
          <w:rFonts w:ascii="Calibri" w:hAnsi="Calibri"/>
          <w:b/>
          <w:color w:val="0F172A"/>
          <w:sz w:val="17"/>
        </w:rPr>
        <w:t>Module 4: Explainable AI &amp; Prescriptive Health Engine (SHAP)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Algorithmic Technique: </w:t>
      </w:r>
      <w:r>
        <w:rPr>
          <w:rFonts w:ascii="Calibri" w:hAnsi="Calibri"/>
          <w:color w:val="1E293B"/>
          <w:sz w:val="16"/>
        </w:rPr>
        <w:t>SHAP (SHapley Additive exPlanations) TreeExplainer rooted in cooperative game theory: φi(x) = Σ [|S|!(|F|-|S|-1)! / |F|!] * [f(S ∪ {i}) - f(S)].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Why Chosen: </w:t>
      </w:r>
      <w:r>
        <w:rPr>
          <w:rFonts w:ascii="Calibri" w:hAnsi="Calibri"/>
          <w:color w:val="1E293B"/>
          <w:sz w:val="16"/>
        </w:rPr>
        <w:t>Eliminates black-box opacity by decomposing predictions into exact sensor attributions (e.g. Tool Wear +52% hazard, Torque +31% hazard).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Prescriptive Fusion: </w:t>
      </w:r>
      <w:r>
        <w:rPr>
          <w:rFonts w:ascii="Calibri" w:hAnsi="Calibri"/>
          <w:color w:val="1E293B"/>
          <w:sz w:val="16"/>
        </w:rPr>
        <w:t>Combines XGBoost failure risk, LSTM remaining life cycles, and visual defect severity into a composite Fleet Health Index (0–100%) and auto-generates dispatch work orders.</w:t>
      </w:r>
    </w:p>
    <w:p>
      <w:r>
        <w:br w:type="page"/>
      </w:r>
    </w:p>
    <w:p>
      <w:pPr>
        <w:spacing w:before="0" w:after="60" w:line="276" w:lineRule="auto"/>
      </w:pPr>
      <w:r>
        <w:rPr>
          <w:rFonts w:ascii="Calibri" w:hAnsi="Calibri"/>
          <w:b/>
          <w:color w:val="0369A1"/>
          <w:sz w:val="20"/>
        </w:rPr>
        <w:t>PAGE 3 — COCKPIT SYSTEM &amp; EDGE COMPUTER VISION SCREENSHOTS</w:t>
      </w:r>
    </w:p>
    <w:p>
      <w:pPr>
        <w:spacing w:before="0" w:after="20" w:line="276" w:lineRule="auto"/>
      </w:pPr>
      <w:r>
        <w:rPr>
          <w:rFonts w:ascii="Calibri" w:hAnsi="Calibri"/>
          <w:b/>
          <w:color w:val="0F172A"/>
          <w:sz w:val="17"/>
        </w:rPr>
        <w:t>Screenshot 1: GearGuard Industrial Failure Prevention Cockpit (Live Telemetry Fleet HUD)</w:t>
      </w:r>
    </w:p>
    <w:p>
      <w:pPr>
        <w:spacing w:before="0" w:after="40" w:line="276" w:lineRule="auto"/>
      </w:pPr>
      <w:r>
        <w:rPr>
          <w:rFonts w:ascii="Calibri" w:hAnsi="Calibri"/>
          <w:color w:val="1E293B"/>
          <w:sz w:val="16"/>
        </w:rPr>
        <w:t>Monitors 15 industrial production units in real time, featuring continuous 3.5-second live telemetry streaming with simulated spindle harmonics, cutting friction torque jitter, thermal drift, and progressive tool wear: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204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live_telemet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04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Top Real-Time HUD: </w:t>
      </w:r>
      <w:r>
        <w:rPr>
          <w:rFonts w:ascii="Calibri" w:hAnsi="Calibri"/>
          <w:color w:val="1E293B"/>
          <w:sz w:val="16"/>
        </w:rPr>
        <w:t>Global Fleet Health (56%), 14ms Inference Latency, Active Hazard Counters (5 Critical / 0 Warn), FileStore Synced pipeline.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KPI Summary Cards: </w:t>
      </w:r>
      <w:r>
        <w:rPr>
          <w:rFonts w:ascii="Calibri" w:hAnsi="Calibri"/>
          <w:color w:val="1E293B"/>
          <w:sz w:val="16"/>
        </w:rPr>
        <w:t>Monitored Fleet (15 Units), Optimal Health (10 Online), Elevated Degradation (0 Warning), Critical Breakdown Hazard (5 Urgent), Fleet Health Index (56%).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172A"/>
          <w:sz w:val="16"/>
        </w:rPr>
        <w:t xml:space="preserve">Streaming Status: </w:t>
      </w:r>
      <w:r>
        <w:rPr>
          <w:rFonts w:ascii="Calibri" w:hAnsi="Calibri"/>
          <w:color w:val="1E293B"/>
          <w:sz w:val="16"/>
        </w:rPr>
        <w:t>Telemetry stream auto-syncing every 3.5 seconds with interactive '⚡ Ingest Sensor Pulse' button.</w:t>
      </w:r>
    </w:p>
    <w:p>
      <w:pPr>
        <w:spacing w:before="0" w:after="20" w:line="276" w:lineRule="auto"/>
      </w:pPr>
      <w:r>
        <w:rPr>
          <w:rFonts w:ascii="Calibri" w:hAnsi="Calibri"/>
          <w:b/>
          <w:color w:val="0F172A"/>
          <w:sz w:val="17"/>
        </w:rPr>
        <w:t>Screenshots 2 &amp; 3: Multimodal Edge Computer Vision Defect Inspection</w:t>
      </w:r>
    </w:p>
    <w:p>
      <w:pPr>
        <w:spacing w:before="0" w:after="40" w:line="276" w:lineRule="auto"/>
      </w:pPr>
      <w:r>
        <w:rPr>
          <w:rFonts w:ascii="Calibri" w:hAnsi="Calibri"/>
          <w:color w:val="1E293B"/>
          <w:sz w:val="16"/>
        </w:rPr>
        <w:t>Verifies physical structural degradation on critical shop-floor sub-assemblies before mechanical catastrophic seizure: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06"/>
        <w:gridCol w:w="5306"/>
      </w:tblGrid>
      <w:tr>
        <w:trPr>
          <w:cantSplit/>
        </w:trPr>
        <w:tc>
          <w:tcPr>
            <w:tcW w:type="dxa" w:w="51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>Material Handling Conveyor Belt</w:t>
            </w:r>
          </w:p>
        </w:tc>
        <w:tc>
          <w:tcPr>
            <w:tcW w:type="dxa" w:w="51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>High-Pressure Hydraulic Assembly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yor_belt_damaged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E293B"/>
                <w:sz w:val="15"/>
              </w:rPr>
              <w:t>Defect: Longitudinal Surface Tear &amp; Frayed Core</w:t>
              <w:br/>
              <w:t>• Edge Density: ρ = 0.142 (Threshold &gt; 0.13)</w:t>
              <w:br/>
              <w:t>• Severity: CRITICAL HAZARD</w:t>
              <w:br/>
              <w:t>• Action: Auto Line B Belt Replacement Work Order</w:t>
            </w:r>
          </w:p>
        </w:tc>
        <w:tc>
          <w:tcPr>
            <w:tcW w:type="dxa" w:w="51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ydraulic_leaking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E293B"/>
                <w:sz w:val="15"/>
              </w:rPr>
              <w:t>Defect: Hydraulic Seal Failure &amp; Oil Leakage</w:t>
              <w:br/>
              <w:t>• Dark Ratio: r = 0.228 (Threshold &gt; 0.20)</w:t>
              <w:br/>
              <w:t>• Severity: CRITICAL HAZARD</w:t>
              <w:br/>
              <w:t>• Action: Emergency Depressurization &amp; Seal Overhaul</w:t>
            </w:r>
          </w:p>
        </w:tc>
      </w:tr>
    </w:tbl>
    <w:p>
      <w:r>
        <w:br w:type="page"/>
      </w:r>
    </w:p>
    <w:p>
      <w:pPr>
        <w:spacing w:before="0" w:after="60" w:line="276" w:lineRule="auto"/>
      </w:pPr>
      <w:r>
        <w:rPr>
          <w:rFonts w:ascii="Calibri" w:hAnsi="Calibri"/>
          <w:b/>
          <w:color w:val="0369A1"/>
          <w:sz w:val="20"/>
        </w:rPr>
        <w:t>PAGE 4 — MODEL BENCHMARK LAB SCREENSHOTS &amp; EMPIRICAL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06"/>
        <w:gridCol w:w="5306"/>
      </w:tblGrid>
      <w:tr>
        <w:trPr>
          <w:cantSplit/>
        </w:trPr>
        <w:tc>
          <w:tcPr>
            <w:tcW w:type="dxa" w:w="51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>XGBoost Confusion Matrix &amp; Feature Gain</w:t>
            </w:r>
          </w:p>
        </w:tc>
        <w:tc>
          <w:tcPr>
            <w:tcW w:type="dxa" w:w="51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>LSTM Regressor Loss Convergence Curve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30837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el_benchmark_xgboos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3083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E293B"/>
                <w:sz w:val="14"/>
              </w:rPr>
              <w:t>• Test Matrix (2,000 machines): TN=1,676 (83.8%), TP=185 (9.3%), FP=107 (5.4%), FN=32 (1.6%).</w:t>
              <w:br/>
              <w:t>• Feature Gain: Tool Wear (36.7%), Torque (27.0%), Speed (13.7%), Air/Proc Temp (19.2%).</w:t>
            </w:r>
          </w:p>
        </w:tc>
        <w:tc>
          <w:tcPr>
            <w:tcW w:type="dxa" w:w="51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2140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el_benchmark_lstm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214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E293B"/>
                <w:sz w:val="14"/>
              </w:rPr>
              <w:t>• Loss Curve: Train Loss drops from 0.084 to 0.009 across 25 epochs. Val Loss converges closely to 0.011 with zero divergence.</w:t>
              <w:br/>
              <w:t>• Architecture: 64u + 32u Stacked LSTM with 20% Dropout.</w:t>
            </w:r>
          </w:p>
        </w:tc>
      </w:tr>
    </w:tbl>
    <w:p>
      <w:pPr>
        <w:spacing w:before="0" w:after="20" w:line="276" w:lineRule="auto"/>
      </w:pPr>
      <w:r>
        <w:rPr>
          <w:rFonts w:ascii="Calibri" w:hAnsi="Calibri"/>
          <w:b/>
          <w:color w:val="0F172A"/>
          <w:sz w:val="17"/>
        </w:rPr>
        <w:t>Comprehensive Quantitative Metric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F172A"/>
                <w:sz w:val="15"/>
              </w:rPr>
              <w:t>Evaluated Module</w:t>
            </w:r>
          </w:p>
        </w:tc>
        <w:tc>
          <w:tcPr>
            <w:tcW w:type="dxa" w:w="259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F172A"/>
                <w:sz w:val="15"/>
              </w:rPr>
              <w:t>Metric</w:t>
            </w:r>
          </w:p>
        </w:tc>
        <w:tc>
          <w:tcPr>
            <w:tcW w:type="dxa" w:w="15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F172A"/>
                <w:sz w:val="15"/>
              </w:rPr>
              <w:t>Achieved Value</w:t>
            </w:r>
          </w:p>
        </w:tc>
        <w:tc>
          <w:tcPr>
            <w:tcW w:type="dxa" w:w="403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F172A"/>
                <w:sz w:val="15"/>
              </w:rPr>
              <w:t>Industrial &amp; Academic Significance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E293B"/>
                <w:sz w:val="14"/>
              </w:rPr>
              <w:t>XGBoost Classifier</w:t>
            </w:r>
          </w:p>
        </w:tc>
        <w:tc>
          <w:tcPr>
            <w:tcW w:type="dxa" w:w="259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E293B"/>
                <w:sz w:val="14"/>
              </w:rPr>
              <w:t>ROC-AUC Score</w:t>
            </w:r>
          </w:p>
        </w:tc>
        <w:tc>
          <w:tcPr>
            <w:tcW w:type="dxa" w:w="15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E293B"/>
                <w:sz w:val="14"/>
              </w:rPr>
              <w:t>0.937</w:t>
            </w:r>
          </w:p>
        </w:tc>
        <w:tc>
          <w:tcPr>
            <w:tcW w:type="dxa" w:w="403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E293B"/>
                <w:sz w:val="14"/>
              </w:rPr>
              <w:t>Outstanding separation between healthy and failing machine states.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E293B"/>
                <w:sz w:val="14"/>
              </w:rPr>
              <w:t>XGBoost Classifier</w:t>
            </w:r>
          </w:p>
        </w:tc>
        <w:tc>
          <w:tcPr>
            <w:tcW w:type="dxa" w:w="259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E293B"/>
                <w:sz w:val="14"/>
              </w:rPr>
              <w:t>Recall / Sensitivity</w:t>
            </w:r>
          </w:p>
        </w:tc>
        <w:tc>
          <w:tcPr>
            <w:tcW w:type="dxa" w:w="15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E293B"/>
                <w:sz w:val="14"/>
              </w:rPr>
              <w:t>85.3%</w:t>
            </w:r>
          </w:p>
        </w:tc>
        <w:tc>
          <w:tcPr>
            <w:tcW w:type="dxa" w:w="403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E293B"/>
                <w:sz w:val="14"/>
              </w:rPr>
              <w:t>Primary KPI: Catches 185 out of 217 real machine failure events.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E293B"/>
                <w:sz w:val="14"/>
              </w:rPr>
              <w:t>XGBoost Classifier</w:t>
            </w:r>
          </w:p>
        </w:tc>
        <w:tc>
          <w:tcPr>
            <w:tcW w:type="dxa" w:w="259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E293B"/>
                <w:sz w:val="14"/>
              </w:rPr>
              <w:t>Specificity</w:t>
            </w:r>
          </w:p>
        </w:tc>
        <w:tc>
          <w:tcPr>
            <w:tcW w:type="dxa" w:w="15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E293B"/>
                <w:sz w:val="14"/>
              </w:rPr>
              <w:t>94.0%</w:t>
            </w:r>
          </w:p>
        </w:tc>
        <w:tc>
          <w:tcPr>
            <w:tcW w:type="dxa" w:w="403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E293B"/>
                <w:sz w:val="14"/>
              </w:rPr>
              <w:t>Correctly clears 1,676 out of 1,783 healthy units without false halts.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E293B"/>
                <w:sz w:val="14"/>
              </w:rPr>
              <w:t>XGBoost Classifier</w:t>
            </w:r>
          </w:p>
        </w:tc>
        <w:tc>
          <w:tcPr>
            <w:tcW w:type="dxa" w:w="259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E293B"/>
                <w:sz w:val="14"/>
              </w:rPr>
              <w:t>Precision</w:t>
            </w:r>
          </w:p>
        </w:tc>
        <w:tc>
          <w:tcPr>
            <w:tcW w:type="dxa" w:w="15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E293B"/>
                <w:sz w:val="14"/>
              </w:rPr>
              <w:t>63.4%</w:t>
            </w:r>
          </w:p>
        </w:tc>
        <w:tc>
          <w:tcPr>
            <w:tcW w:type="dxa" w:w="403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E293B"/>
                <w:sz w:val="14"/>
              </w:rPr>
              <w:t>Controlled false alarm trade-off prioritizing operator safety and zero crashes.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E293B"/>
                <w:sz w:val="14"/>
              </w:rPr>
              <w:t>XGBoost Classifier</w:t>
            </w:r>
          </w:p>
        </w:tc>
        <w:tc>
          <w:tcPr>
            <w:tcW w:type="dxa" w:w="259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E293B"/>
                <w:sz w:val="14"/>
              </w:rPr>
              <w:t>Accuracy</w:t>
            </w:r>
          </w:p>
        </w:tc>
        <w:tc>
          <w:tcPr>
            <w:tcW w:type="dxa" w:w="15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E293B"/>
                <w:sz w:val="14"/>
              </w:rPr>
              <w:t>97.8%</w:t>
            </w:r>
          </w:p>
        </w:tc>
        <w:tc>
          <w:tcPr>
            <w:tcW w:type="dxa" w:w="403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E293B"/>
                <w:sz w:val="14"/>
              </w:rPr>
              <w:t>High overall test split accuracy across 10,000-sample CNC dataset.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E293B"/>
                <w:sz w:val="14"/>
              </w:rPr>
              <w:t>LSTM Regressor</w:t>
            </w:r>
          </w:p>
        </w:tc>
        <w:tc>
          <w:tcPr>
            <w:tcW w:type="dxa" w:w="259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E293B"/>
                <w:sz w:val="14"/>
              </w:rPr>
              <w:t>Mean Absolute Error (MAE)</w:t>
            </w:r>
          </w:p>
        </w:tc>
        <w:tc>
          <w:tcPr>
            <w:tcW w:type="dxa" w:w="15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E293B"/>
                <w:sz w:val="14"/>
              </w:rPr>
              <w:t>30.20 cycles</w:t>
            </w:r>
          </w:p>
        </w:tc>
        <w:tc>
          <w:tcPr>
            <w:tcW w:type="dxa" w:w="403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E293B"/>
                <w:sz w:val="14"/>
              </w:rPr>
              <w:t>Average RUL forecast is within ±30 operational cycles of physical breakdown.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E293B"/>
                <w:sz w:val="14"/>
              </w:rPr>
              <w:t>LSTM Regressor</w:t>
            </w:r>
          </w:p>
        </w:tc>
        <w:tc>
          <w:tcPr>
            <w:tcW w:type="dxa" w:w="259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E293B"/>
                <w:sz w:val="14"/>
              </w:rPr>
              <w:t>Root Mean Squared Error (RMSE)</w:t>
            </w:r>
          </w:p>
        </w:tc>
        <w:tc>
          <w:tcPr>
            <w:tcW w:type="dxa" w:w="15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E293B"/>
                <w:sz w:val="14"/>
              </w:rPr>
              <w:t>39.88 cycles</w:t>
            </w:r>
          </w:p>
        </w:tc>
        <w:tc>
          <w:tcPr>
            <w:tcW w:type="dxa" w:w="403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E293B"/>
                <w:sz w:val="14"/>
              </w:rPr>
              <w:t>Strong outlier penalization confirms low variance in degradation trajectory.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E293B"/>
                <w:sz w:val="14"/>
              </w:rPr>
              <w:t>LSTM Regressor</w:t>
            </w:r>
          </w:p>
        </w:tc>
        <w:tc>
          <w:tcPr>
            <w:tcW w:type="dxa" w:w="259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E293B"/>
                <w:sz w:val="14"/>
              </w:rPr>
              <w:t>R² Determination</w:t>
            </w:r>
          </w:p>
        </w:tc>
        <w:tc>
          <w:tcPr>
            <w:tcW w:type="dxa" w:w="15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E293B"/>
                <w:sz w:val="14"/>
              </w:rPr>
              <w:t>0.645</w:t>
            </w:r>
          </w:p>
        </w:tc>
        <w:tc>
          <w:tcPr>
            <w:tcW w:type="dxa" w:w="403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E293B"/>
                <w:sz w:val="14"/>
              </w:rPr>
              <w:t>Explains 64.5% of variance in noisy, multi-sensor turbomachinery series.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E293B"/>
                <w:sz w:val="14"/>
              </w:rPr>
              <w:t>Edge Vision</w:t>
            </w:r>
          </w:p>
        </w:tc>
        <w:tc>
          <w:tcPr>
            <w:tcW w:type="dxa" w:w="259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E293B"/>
                <w:sz w:val="14"/>
              </w:rPr>
              <w:t>Target Validation Accuracy</w:t>
            </w:r>
          </w:p>
        </w:tc>
        <w:tc>
          <w:tcPr>
            <w:tcW w:type="dxa" w:w="15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E293B"/>
                <w:sz w:val="14"/>
              </w:rPr>
              <w:t>94.8%</w:t>
            </w:r>
          </w:p>
        </w:tc>
        <w:tc>
          <w:tcPr>
            <w:tcW w:type="dxa" w:w="403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E293B"/>
                <w:sz w:val="14"/>
              </w:rPr>
              <w:t>MobileNet-V3 accurately validates industrial machinery vs clutter.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E293B"/>
                <w:sz w:val="14"/>
              </w:rPr>
              <w:t>Pipeline Latency</w:t>
            </w:r>
          </w:p>
        </w:tc>
        <w:tc>
          <w:tcPr>
            <w:tcW w:type="dxa" w:w="259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E293B"/>
                <w:sz w:val="14"/>
              </w:rPr>
              <w:t>End-to-End Inference</w:t>
            </w:r>
          </w:p>
        </w:tc>
        <w:tc>
          <w:tcPr>
            <w:tcW w:type="dxa" w:w="15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E293B"/>
                <w:sz w:val="14"/>
              </w:rPr>
              <w:t>14 ms</w:t>
            </w:r>
          </w:p>
        </w:tc>
        <w:tc>
          <w:tcPr>
            <w:tcW w:type="dxa" w:w="403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E293B"/>
                <w:sz w:val="14"/>
              </w:rPr>
              <w:t>Ultra-low latency supports high-frequency shop-floor streaming loops.</w:t>
            </w:r>
          </w:p>
        </w:tc>
      </w:tr>
    </w:tbl>
    <w:sectPr w:rsidR="00FC693F" w:rsidRPr="0006063C" w:rsidSect="00034616"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