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76" w:lineRule="auto"/>
        <w:jc w:val="center"/>
      </w:pPr>
      <w:r>
        <w:rPr>
          <w:rFonts w:ascii="Times New Roman" w:hAnsi="Times New Roman"/>
          <w:b/>
          <w:i w:val="0"/>
          <w:color w:val="0F172A"/>
          <w:sz w:val="30"/>
        </w:rPr>
        <w:t>GearGuard: A Hybrid Diagnostic-Prognostic Multimodal Machine Learning Framework for Autonomous Industrial Failure Prevention and Real-Time RUL Estimation</w:t>
      </w:r>
    </w:p>
    <w:p>
      <w:pPr>
        <w:spacing w:before="0" w:after="240" w:line="276" w:lineRule="auto"/>
        <w:jc w:val="center"/>
      </w:pPr>
      <w:r>
        <w:rPr>
          <w:rFonts w:ascii="Times New Roman" w:hAnsi="Times New Roman"/>
          <w:b w:val="0"/>
          <w:i/>
          <w:color w:val="334155"/>
          <w:sz w:val="18"/>
        </w:rPr>
        <w:t>20MSS54-ML — Assessment-II: ML/DL Research Article Writing</w:t>
        <w:br/>
        <w:t>Puja R (Roll No. 2403717672622039) and Rakshita N (Roll No. 2403717672622040)</w:t>
        <w:br/>
        <w:t>Department of Software Systems, Coimbatore Institute of Technology, Coimbatore, Tamil Nadu, India</w:t>
        <w:br/>
        <w:t>Academic Year: 2025 – 2026</w:t>
      </w:r>
    </w:p>
    <w:p>
      <w:pPr>
        <w:spacing w:before="0" w:after="40" w:line="276" w:lineRule="auto"/>
        <w:jc w:val="left"/>
      </w:pPr>
      <w:r>
        <w:rPr>
          <w:rFonts w:ascii="Times New Roman" w:hAnsi="Times New Roman"/>
          <w:b/>
          <w:i w:val="0"/>
          <w:color w:val="0F172A"/>
          <w:sz w:val="22"/>
        </w:rPr>
        <w:t>ABSTRACT</w:t>
      </w:r>
    </w:p>
    <w:p>
      <w:pPr>
        <w:spacing w:before="0" w:after="80" w:line="276" w:lineRule="auto"/>
        <w:jc w:val="both"/>
      </w:pPr>
      <w:r>
        <w:rPr>
          <w:rFonts w:ascii="Times New Roman" w:hAnsi="Times New Roman"/>
          <w:b w:val="0"/>
          <w:i/>
          <w:color w:val="111827"/>
          <w:sz w:val="19"/>
        </w:rPr>
        <w:t>Unplanned machine downtime is a multi-billion-dollar operational bottleneck in cyber-physical manufacturing systems. Conventional maintenance relies either on run-to-failure reactive repairs or rigid schedule-based overhauls that discard healthy components prematurely. This study presents GearGuard, an end-to-end multimodal predictive intelligence framework that unifies real-time diagnostics, temporal prognostics, optical defect detection, and explainable artificial intelligence (XAI). The framework evaluates and benchmarks multiple machine learning algorithms across three benchmark industrial datasets: the UCI AI4I 2020 Predictive Maintenance dataset (10,000 CNC milling records), the NASA C-MAPSS FD001 turbomachinery degradation dataset, and shop-floor surface defect imagery. To counteract severe class imbalance (3.39% failure incidence), an Extreme Gradient Boosting (XGBoost) classifier is optimized using cost-sensitive gradient reweighting (scale_pos_weight = 27.5), achieving an ROC-AUC of 0.937, an overall accuracy of 97.8%, and an 85.3% Recall, significantly outperforming baseline Logistic Regression (12.4% Recall) and Random Forest (71.9% Recall) while minimizing critical False Negatives to 1.6%. For long-term prognostics, a Stacked Long Short-Term Memory (LSTM) neural network processes 20-step temporal horizons to forecast continuous Remaining Useful Life (RUL), achieving a Mean Absolute Error (MAE) of 30.20 operating cycles and an R² of 0.645. A lightweight MobileNet-V3 Small edge vision pipeline identifies structural conveyor tears and hydraulic leaks with 94.8% accuracy. Finally, a SHAP TreeExplainer engine unmasks the black-box decision space, revealing Tool Wear (36.7%) and Spindle Torque (27.0%) as the primary physical failure drivers. The system is deployed within an interactive operations cockpit streaming simulated telemetry with 14ms end-to-end inference latency.</w:t>
      </w:r>
    </w:p>
    <w:p>
      <w:pPr>
        <w:spacing w:before="0" w:after="280" w:line="276" w:lineRule="auto"/>
        <w:jc w:val="both"/>
      </w:pPr>
      <w:r>
        <w:rPr>
          <w:rFonts w:ascii="Times New Roman" w:hAnsi="Times New Roman"/>
          <w:b/>
          <w:i w:val="0"/>
          <w:color w:val="111827"/>
          <w:sz w:val="19"/>
        </w:rPr>
        <w:t>Keywords: Predictive Maintenance, Cyber-Physical Systems, Extreme Gradient Boosting (XGBoost), Long Short-Term Memory (LSTM), Explainable Artificial Intelligence (SHAP), Multimodal Edge Vision.</w:t>
      </w:r>
    </w:p>
    <w:p>
      <w:pPr>
        <w:spacing w:before="0" w:after="80" w:line="276" w:lineRule="auto"/>
        <w:jc w:val="both"/>
      </w:pPr>
      <w:r>
        <w:rPr>
          <w:rFonts w:ascii="Times New Roman" w:hAnsi="Times New Roman"/>
          <w:b/>
          <w:i w:val="0"/>
          <w:color w:val="0F172A"/>
          <w:sz w:val="24"/>
        </w:rPr>
        <w:t>1. Introduction</w:t>
      </w:r>
    </w:p>
    <w:p>
      <w:pPr>
        <w:spacing w:before="0" w:after="80" w:line="276" w:lineRule="auto"/>
        <w:jc w:val="both"/>
      </w:pPr>
      <w:r>
        <w:rPr>
          <w:rFonts w:ascii="Times New Roman" w:hAnsi="Times New Roman"/>
          <w:b w:val="0"/>
          <w:i w:val="0"/>
          <w:color w:val="111827"/>
          <w:sz w:val="20"/>
        </w:rPr>
        <w:t>Industrial manufacturing has undergone an aggressive transformation toward Industry 4.0, where cyber-physical systems (CPS), internet-of-things (IoT) sensory arrays, and automated machining centers dictate high-throughput production [1], [7]. However, unplanned equipment downtime remains one of the costliest vulnerabilities across global supply chains. According to industrial benchmarks published by the ARC Advisory Group and the International Society of Automation, unexpected machinery halts cost industrial manufacturers approximately $50 billion annually, with unplanned outages reducing overall plant productivity by 5% to 20% [7], [11].</w:t>
      </w:r>
    </w:p>
    <w:p>
      <w:pPr>
        <w:spacing w:before="0" w:after="80" w:line="276" w:lineRule="auto"/>
        <w:jc w:val="both"/>
      </w:pPr>
      <w:r>
        <w:rPr>
          <w:rFonts w:ascii="Times New Roman" w:hAnsi="Times New Roman"/>
          <w:b w:val="0"/>
          <w:i w:val="0"/>
          <w:color w:val="111827"/>
          <w:sz w:val="20"/>
        </w:rPr>
        <w:t>Historically, factory maintenance paradigms have operated within two sub-optimal extremes: (1) Reactive Maintenance (Run-to-Failure), where machinery is operated until breakdown occurs, causing severe secondary structural damage, and (2) Preventive Maintenance, where parts are replaced on rigid calendar intervals regardless of their physical condition, discarding up to 70% of parts that retain remaining life [7].</w:t>
      </w:r>
    </w:p>
    <w:p>
      <w:pPr>
        <w:spacing w:before="0" w:after="80" w:line="276" w:lineRule="auto"/>
        <w:jc w:val="both"/>
      </w:pPr>
      <w:r>
        <w:rPr>
          <w:rFonts w:ascii="Times New Roman" w:hAnsi="Times New Roman"/>
          <w:b w:val="0"/>
          <w:i w:val="0"/>
          <w:color w:val="111827"/>
          <w:sz w:val="20"/>
        </w:rPr>
        <w:t>Predictive Maintenance (PdM) leverages machine learning and deep learning to model continuous wear in real time [1], [5]. However, real-world deployment faces four key hurdles: extreme class imbalance (&lt;4% failures), temporal degradation dynamics, multimodal blind spots, and the black-box trust deficit.</w:t>
      </w:r>
    </w:p>
    <w:p>
      <w:pPr>
        <w:spacing w:before="0" w:after="80" w:line="276" w:lineRule="auto"/>
        <w:jc w:val="both"/>
      </w:pPr>
      <w:r>
        <w:rPr>
          <w:rFonts w:ascii="Times New Roman" w:hAnsi="Times New Roman"/>
          <w:b w:val="0"/>
          <w:i w:val="0"/>
          <w:color w:val="111827"/>
          <w:sz w:val="20"/>
        </w:rPr>
        <w:t>Contributions of this Study: (1) A unified Hybrid Diagnostic-Prognostic pipeline achieving sub-20ms latency. (2) Cost-sensitive loss weighting (scale_pos_weight = 27.5) overcoming 3.39% imbalance to achieve 85.3% Recall. (3) Multimodal edge vision with MobileNet-V3 Small detecting physical tears and leaks with 94.8% accuracy. (4) SHAP game-theoretic explainability deployed in an interactive live telemetry cockpit.</w:t>
      </w:r>
    </w:p>
    <w:p>
      <w:pPr>
        <w:spacing w:before="0" w:after="80" w:line="276" w:lineRule="auto"/>
        <w:jc w:val="both"/>
      </w:pPr>
      <w:r>
        <w:rPr>
          <w:rFonts w:ascii="Times New Roman" w:hAnsi="Times New Roman"/>
          <w:b/>
          <w:i w:val="0"/>
          <w:color w:val="0F172A"/>
          <w:sz w:val="24"/>
        </w:rPr>
        <w:t>2. Related Work / Literature Review</w:t>
      </w:r>
    </w:p>
    <w:p>
      <w:pPr>
        <w:spacing w:before="0" w:after="80" w:line="276" w:lineRule="auto"/>
        <w:jc w:val="both"/>
      </w:pPr>
      <w:r>
        <w:rPr>
          <w:rFonts w:ascii="Times New Roman" w:hAnsi="Times New Roman"/>
          <w:b w:val="0"/>
          <w:i w:val="0"/>
          <w:color w:val="111827"/>
          <w:sz w:val="20"/>
        </w:rPr>
        <w:t>We conducted a systematic review of 12 peer-reviewed articles published between 2020 and 2025 across top-tier venues (IEEE TII, Computers &amp; Industrial Engineering, Nature Scientific Reports, CIRP Annals, Journal of Manufacturing Systems). The literature demonstrates that while tree ensembles and recurrent networks dominate the state-of-the-art, existing studies suffer from methodological siloing (treating classification, RUL, and vision as separate problems), neglecting class imbalance, and lacking production-ready operational cockpits.</w:t>
      </w:r>
    </w:p>
    <w:p>
      <w:pPr>
        <w:spacing w:before="0" w:after="80" w:line="276" w:lineRule="auto"/>
        <w:jc w:val="both"/>
      </w:pPr>
      <w:r>
        <w:rPr>
          <w:rFonts w:ascii="Times New Roman" w:hAnsi="Times New Roman"/>
          <w:b/>
          <w:i w:val="0"/>
          <w:color w:val="0F172A"/>
          <w:sz w:val="24"/>
        </w:rPr>
        <w:t>3. Problem Definition and Objectives</w:t>
      </w:r>
    </w:p>
    <w:p>
      <w:pPr>
        <w:spacing w:before="0" w:after="80" w:line="276" w:lineRule="auto"/>
        <w:jc w:val="both"/>
      </w:pPr>
      <w:r>
        <w:rPr>
          <w:rFonts w:ascii="Times New Roman" w:hAnsi="Times New Roman"/>
          <w:b w:val="0"/>
          <w:i w:val="0"/>
          <w:color w:val="111827"/>
          <w:sz w:val="20"/>
        </w:rPr>
        <w:t>We formalize three simultaneous learning tasks: (1) Real-time binary diagnostic failure classification f_diag: x -&gt; {0, 1}, (2) Continuous prognostic Remaining Useful Life regression f_prog: X -&gt; RUL, and (3) Edge optical defect screening f_vis: I -&gt; (class, edge_density, dark_ratio). The primary stakeholders are machine operators, reliability engineers, and plant operations directors.</w:t>
      </w:r>
    </w:p>
    <w:p>
      <w:pPr>
        <w:spacing w:before="0" w:after="80" w:line="276" w:lineRule="auto"/>
        <w:jc w:val="both"/>
      </w:pPr>
      <w:r>
        <w:rPr>
          <w:rFonts w:ascii="Times New Roman" w:hAnsi="Times New Roman"/>
          <w:b/>
          <w:i w:val="0"/>
          <w:color w:val="0F172A"/>
          <w:sz w:val="24"/>
        </w:rPr>
        <w:t>4. Dataset Description</w:t>
      </w:r>
    </w:p>
    <w:p>
      <w:pPr>
        <w:spacing w:before="0" w:after="80" w:line="276" w:lineRule="auto"/>
        <w:jc w:val="both"/>
      </w:pPr>
      <w:r>
        <w:rPr>
          <w:rFonts w:ascii="Times New Roman" w:hAnsi="Times New Roman"/>
          <w:b w:val="0"/>
          <w:i w:val="0"/>
          <w:color w:val="111827"/>
          <w:sz w:val="20"/>
        </w:rPr>
        <w:t>GearGuard is evaluated on three benchmark industrial datasets: (1) UCI AI4I 2020 Predictive Maintenance Dataset (10,000 CNC milling records, 3.39% failure imbalance, CC BY 4.0 license), (2) NASA C-MAPSS FD001 Turbomachinery Dataset (100 run-to-failure engine units, 8 high-variance channels), and (3) NEU Surface Defect Database combined with shop-floor defect imagery. Data leakage was strictly prevented via stratified 80/20 train/test splits, unit-based temporal partitioning, and frozen StandardScaler transformations fitted on training data alone.</w:t>
      </w:r>
    </w:p>
    <w:p>
      <w:pPr>
        <w:spacing w:before="0" w:after="80" w:line="276" w:lineRule="auto"/>
        <w:jc w:val="both"/>
      </w:pPr>
      <w:r>
        <w:rPr>
          <w:rFonts w:ascii="Times New Roman" w:hAnsi="Times New Roman"/>
          <w:b/>
          <w:i w:val="0"/>
          <w:color w:val="0F172A"/>
          <w:sz w:val="24"/>
        </w:rPr>
        <w:t>5. Methodology and System Architecture</w:t>
      </w:r>
    </w:p>
    <w:p>
      <w:pPr>
        <w:spacing w:before="0" w:after="80" w:line="276" w:lineRule="auto"/>
        <w:jc w:val="both"/>
      </w:pPr>
      <w:r>
        <w:rPr>
          <w:rFonts w:ascii="Times New Roman" w:hAnsi="Times New Roman"/>
          <w:b w:val="0"/>
          <w:i w:val="0"/>
          <w:color w:val="111827"/>
          <w:sz w:val="20"/>
        </w:rPr>
        <w:t>The GearGuard architecture integrates: (1) Cost-weighted XGBoost classifier with 150 boosted trees minimizing regularized negative log-likelihood with second-order Taylor gradients, (2) Stacked LSTM (64u + 32u with 20% Dropout and BatchNorm) processing 20-step temporal sliding horizons for RUL estimation, (3) MobileNet-V3 Small edge vision pipeline with Sobel fracture edge density and dark-ratio pooling, and (4) SHAP TreeExplainer game-theoretic root-cause attribution combined into a Fleet Health Index (0-100%) with automated work orders.</w:t>
      </w:r>
    </w:p>
    <w:p>
      <w:pPr>
        <w:spacing w:before="0" w:after="80" w:line="276" w:lineRule="auto"/>
        <w:jc w:val="both"/>
      </w:pPr>
      <w:r>
        <w:rPr>
          <w:rFonts w:ascii="Times New Roman" w:hAnsi="Times New Roman"/>
          <w:b/>
          <w:i w:val="0"/>
          <w:color w:val="0F172A"/>
          <w:sz w:val="24"/>
        </w:rPr>
        <w:t>6. Experimental Setup and Evaluation Metrics</w:t>
      </w:r>
    </w:p>
    <w:p>
      <w:pPr>
        <w:spacing w:before="0" w:after="80" w:line="276" w:lineRule="auto"/>
        <w:jc w:val="both"/>
      </w:pPr>
      <w:r>
        <w:rPr>
          <w:rFonts w:ascii="Times New Roman" w:hAnsi="Times New Roman"/>
          <w:b w:val="0"/>
          <w:i w:val="0"/>
          <w:color w:val="111827"/>
          <w:sz w:val="20"/>
        </w:rPr>
        <w:t>Experiments were executed on an Intel Core i7-11800H platform with Python 3.13, PyTorch 2.4, and XGBoost 2.1. Models were evaluated using Accuracy, Recall/Sensitivity (Primary KPI), Specificity, Precision, F1-Score, and ROC-AUC for classification; and MAE, RMSE, and R² for prognostic regression.</w:t>
      </w:r>
    </w:p>
    <w:p>
      <w:pPr>
        <w:spacing w:before="0" w:after="80" w:line="276" w:lineRule="auto"/>
        <w:jc w:val="both"/>
      </w:pPr>
      <w:r>
        <w:rPr>
          <w:rFonts w:ascii="Times New Roman" w:hAnsi="Times New Roman"/>
          <w:b/>
          <w:i w:val="0"/>
          <w:color w:val="0F172A"/>
          <w:sz w:val="24"/>
        </w:rPr>
        <w:t>8. Results and Visualizations</w:t>
      </w:r>
    </w:p>
    <w:p>
      <w:pPr>
        <w:spacing w:before="0" w:after="40" w:line="276" w:lineRule="auto"/>
        <w:jc w:val="both"/>
      </w:pPr>
      <w:r>
        <w:rPr>
          <w:rFonts w:ascii="Times New Roman" w:hAnsi="Times New Roman"/>
          <w:b/>
          <w:i w:val="0"/>
          <w:color w:val="111827"/>
          <w:sz w:val="19"/>
        </w:rPr>
        <w:t>Table 4: Comparative Performance of Evaluated Machine Learning and Deep Learning Models</w:t>
      </w:r>
    </w:p>
    <w:tbl>
      <w:tblPr>
        <w:tblW w:type="auto" w:w="0"/>
        <w:jc w:val="center"/>
        <w:tblLook w:firstColumn="1" w:firstRow="1" w:lastColumn="0" w:lastRow="0" w:noHBand="0" w:noVBand="1" w:val="04A0"/>
      </w:tblPr>
      <w:tblGrid>
        <w:gridCol w:w="989"/>
        <w:gridCol w:w="989"/>
        <w:gridCol w:w="989"/>
        <w:gridCol w:w="989"/>
        <w:gridCol w:w="989"/>
        <w:gridCol w:w="989"/>
        <w:gridCol w:w="989"/>
        <w:gridCol w:w="989"/>
        <w:gridCol w:w="989"/>
        <w:gridCol w:w="989"/>
      </w:tblGrid>
      <w:tr>
        <w:tc>
          <w:tcPr>
            <w:tcW w:type="dxa" w:w="2016"/>
            <w:vAlign w:val="center"/>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5"/>
              </w:rPr>
              <w:t>Model Architecture</w:t>
            </w:r>
          </w:p>
        </w:tc>
        <w:tc>
          <w:tcPr>
            <w:tcW w:type="dxa" w:w="864"/>
            <w:vAlign w:val="center"/>
            <w:tcBorders>
              <w:top w:val="single" w:sz="4" w:space="0" w:color="CBD5E1"/>
              <w:bottom w:val="single" w:sz="4" w:space="0" w:color="CBD5E1"/>
              <w:left w:val="single" w:sz="4" w:space="0" w:color="CBD5E1"/>
              <w:right w:val="single" w:sz="4" w:space="0" w:color="CBD5E1"/>
            </w:tcBorders>
            <w:shd w:fill="F1F5F9"/>
          </w:tcPr>
          <w:p>
            <w:pPr>
              <w:spacing w:before="0" w:after="0"/>
              <w:jc w:val="center"/>
            </w:pPr>
            <w:r>
              <w:rPr>
                <w:rFonts w:ascii="Times New Roman" w:hAnsi="Times New Roman"/>
                <w:b/>
                <w:i w:val="0"/>
                <w:color w:val="111827"/>
                <w:sz w:val="15"/>
              </w:rPr>
              <w:t>Task</w:t>
            </w:r>
          </w:p>
        </w:tc>
        <w:tc>
          <w:tcPr>
            <w:tcW w:type="dxa" w:w="864"/>
            <w:vAlign w:val="center"/>
            <w:tcBorders>
              <w:top w:val="single" w:sz="4" w:space="0" w:color="CBD5E1"/>
              <w:bottom w:val="single" w:sz="4" w:space="0" w:color="CBD5E1"/>
              <w:left w:val="single" w:sz="4" w:space="0" w:color="CBD5E1"/>
              <w:right w:val="single" w:sz="4" w:space="0" w:color="CBD5E1"/>
            </w:tcBorders>
            <w:shd w:fill="F1F5F9"/>
          </w:tcPr>
          <w:p>
            <w:pPr>
              <w:spacing w:before="0" w:after="0"/>
              <w:jc w:val="center"/>
            </w:pPr>
            <w:r>
              <w:rPr>
                <w:rFonts w:ascii="Times New Roman" w:hAnsi="Times New Roman"/>
                <w:b/>
                <w:i w:val="0"/>
                <w:color w:val="111827"/>
                <w:sz w:val="15"/>
              </w:rPr>
              <w:t>Accuracy</w:t>
            </w:r>
          </w:p>
        </w:tc>
        <w:tc>
          <w:tcPr>
            <w:tcW w:type="dxa" w:w="864"/>
            <w:vAlign w:val="center"/>
            <w:tcBorders>
              <w:top w:val="single" w:sz="4" w:space="0" w:color="CBD5E1"/>
              <w:bottom w:val="single" w:sz="4" w:space="0" w:color="CBD5E1"/>
              <w:left w:val="single" w:sz="4" w:space="0" w:color="CBD5E1"/>
              <w:right w:val="single" w:sz="4" w:space="0" w:color="CBD5E1"/>
            </w:tcBorders>
            <w:shd w:fill="F1F5F9"/>
          </w:tcPr>
          <w:p>
            <w:pPr>
              <w:spacing w:before="0" w:after="0"/>
              <w:jc w:val="center"/>
            </w:pPr>
            <w:r>
              <w:rPr>
                <w:rFonts w:ascii="Times New Roman" w:hAnsi="Times New Roman"/>
                <w:b/>
                <w:i w:val="0"/>
                <w:color w:val="111827"/>
                <w:sz w:val="15"/>
              </w:rPr>
              <w:t>Recall</w:t>
            </w:r>
          </w:p>
        </w:tc>
        <w:tc>
          <w:tcPr>
            <w:tcW w:type="dxa" w:w="864"/>
            <w:vAlign w:val="center"/>
            <w:tcBorders>
              <w:top w:val="single" w:sz="4" w:space="0" w:color="CBD5E1"/>
              <w:bottom w:val="single" w:sz="4" w:space="0" w:color="CBD5E1"/>
              <w:left w:val="single" w:sz="4" w:space="0" w:color="CBD5E1"/>
              <w:right w:val="single" w:sz="4" w:space="0" w:color="CBD5E1"/>
            </w:tcBorders>
            <w:shd w:fill="F1F5F9"/>
          </w:tcPr>
          <w:p>
            <w:pPr>
              <w:spacing w:before="0" w:after="0"/>
              <w:jc w:val="center"/>
            </w:pPr>
            <w:r>
              <w:rPr>
                <w:rFonts w:ascii="Times New Roman" w:hAnsi="Times New Roman"/>
                <w:b/>
                <w:i w:val="0"/>
                <w:color w:val="111827"/>
                <w:sz w:val="15"/>
              </w:rPr>
              <w:t>Specificity</w:t>
            </w:r>
          </w:p>
        </w:tc>
        <w:tc>
          <w:tcPr>
            <w:tcW w:type="dxa" w:w="864"/>
            <w:vAlign w:val="center"/>
            <w:tcBorders>
              <w:top w:val="single" w:sz="4" w:space="0" w:color="CBD5E1"/>
              <w:bottom w:val="single" w:sz="4" w:space="0" w:color="CBD5E1"/>
              <w:left w:val="single" w:sz="4" w:space="0" w:color="CBD5E1"/>
              <w:right w:val="single" w:sz="4" w:space="0" w:color="CBD5E1"/>
            </w:tcBorders>
            <w:shd w:fill="F1F5F9"/>
          </w:tcPr>
          <w:p>
            <w:pPr>
              <w:spacing w:before="0" w:after="0"/>
              <w:jc w:val="center"/>
            </w:pPr>
            <w:r>
              <w:rPr>
                <w:rFonts w:ascii="Times New Roman" w:hAnsi="Times New Roman"/>
                <w:b/>
                <w:i w:val="0"/>
                <w:color w:val="111827"/>
                <w:sz w:val="15"/>
              </w:rPr>
              <w:t>Precision</w:t>
            </w:r>
          </w:p>
        </w:tc>
        <w:tc>
          <w:tcPr>
            <w:tcW w:type="dxa" w:w="720"/>
            <w:vAlign w:val="center"/>
            <w:tcBorders>
              <w:top w:val="single" w:sz="4" w:space="0" w:color="CBD5E1"/>
              <w:bottom w:val="single" w:sz="4" w:space="0" w:color="CBD5E1"/>
              <w:left w:val="single" w:sz="4" w:space="0" w:color="CBD5E1"/>
              <w:right w:val="single" w:sz="4" w:space="0" w:color="CBD5E1"/>
            </w:tcBorders>
            <w:shd w:fill="F1F5F9"/>
          </w:tcPr>
          <w:p>
            <w:pPr>
              <w:spacing w:before="0" w:after="0"/>
              <w:jc w:val="center"/>
            </w:pPr>
            <w:r>
              <w:rPr>
                <w:rFonts w:ascii="Times New Roman" w:hAnsi="Times New Roman"/>
                <w:b/>
                <w:i w:val="0"/>
                <w:color w:val="111827"/>
                <w:sz w:val="15"/>
              </w:rPr>
              <w:t>F1</w:t>
            </w:r>
          </w:p>
        </w:tc>
        <w:tc>
          <w:tcPr>
            <w:tcW w:type="dxa" w:w="864"/>
            <w:vAlign w:val="center"/>
            <w:tcBorders>
              <w:top w:val="single" w:sz="4" w:space="0" w:color="CBD5E1"/>
              <w:bottom w:val="single" w:sz="4" w:space="0" w:color="CBD5E1"/>
              <w:left w:val="single" w:sz="4" w:space="0" w:color="CBD5E1"/>
              <w:right w:val="single" w:sz="4" w:space="0" w:color="CBD5E1"/>
            </w:tcBorders>
            <w:shd w:fill="F1F5F9"/>
          </w:tcPr>
          <w:p>
            <w:pPr>
              <w:spacing w:before="0" w:after="0"/>
              <w:jc w:val="center"/>
            </w:pPr>
            <w:r>
              <w:rPr>
                <w:rFonts w:ascii="Times New Roman" w:hAnsi="Times New Roman"/>
                <w:b/>
                <w:i w:val="0"/>
                <w:color w:val="111827"/>
                <w:sz w:val="15"/>
              </w:rPr>
              <w:t>ROC-AUC</w:t>
            </w:r>
          </w:p>
        </w:tc>
        <w:tc>
          <w:tcPr>
            <w:tcW w:type="dxa" w:w="1584"/>
            <w:vAlign w:val="center"/>
            <w:tcBorders>
              <w:top w:val="single" w:sz="4" w:space="0" w:color="CBD5E1"/>
              <w:bottom w:val="single" w:sz="4" w:space="0" w:color="CBD5E1"/>
              <w:left w:val="single" w:sz="4" w:space="0" w:color="CBD5E1"/>
              <w:right w:val="single" w:sz="4" w:space="0" w:color="CBD5E1"/>
            </w:tcBorders>
            <w:shd w:fill="F1F5F9"/>
          </w:tcPr>
          <w:p>
            <w:pPr>
              <w:spacing w:before="0" w:after="0"/>
              <w:jc w:val="center"/>
            </w:pPr>
            <w:r>
              <w:rPr>
                <w:rFonts w:ascii="Times New Roman" w:hAnsi="Times New Roman"/>
                <w:b/>
                <w:i w:val="0"/>
                <w:color w:val="111827"/>
                <w:sz w:val="15"/>
              </w:rPr>
              <w:t>MAE / Metric</w:t>
            </w:r>
          </w:p>
        </w:tc>
        <w:tc>
          <w:tcPr>
            <w:tcW w:type="dxa" w:w="864"/>
            <w:vAlign w:val="center"/>
            <w:tcBorders>
              <w:top w:val="single" w:sz="4" w:space="0" w:color="CBD5E1"/>
              <w:bottom w:val="single" w:sz="4" w:space="0" w:color="CBD5E1"/>
              <w:left w:val="single" w:sz="4" w:space="0" w:color="CBD5E1"/>
              <w:right w:val="single" w:sz="4" w:space="0" w:color="CBD5E1"/>
            </w:tcBorders>
            <w:shd w:fill="F1F5F9"/>
          </w:tcPr>
          <w:p>
            <w:pPr>
              <w:spacing w:before="0" w:after="0"/>
              <w:jc w:val="center"/>
            </w:pPr>
            <w:r>
              <w:rPr>
                <w:rFonts w:ascii="Times New Roman" w:hAnsi="Times New Roman"/>
                <w:b/>
                <w:i w:val="0"/>
                <w:color w:val="111827"/>
                <w:sz w:val="15"/>
              </w:rPr>
              <w:t>Latency</w:t>
            </w:r>
          </w:p>
        </w:tc>
      </w:tr>
      <w:tr>
        <w:tc>
          <w:tcPr>
            <w:tcW w:type="dxa" w:w="2016"/>
            <w:vAlign w:val="center"/>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5"/>
              </w:rPr>
              <w:t>Logistic Regression</w:t>
            </w:r>
          </w:p>
        </w:tc>
        <w:tc>
          <w:tcPr>
            <w:tcW w:type="dxa" w:w="864"/>
            <w:vAlign w:val="center"/>
            <w:tcBorders>
              <w:top w:val="single" w:sz="4" w:space="0" w:color="CBD5E1"/>
              <w:bottom w:val="single" w:sz="4" w:space="0" w:color="CBD5E1"/>
              <w:left w:val="single" w:sz="4" w:space="0" w:color="CBD5E1"/>
              <w:right w:val="single" w:sz="4" w:space="0" w:color="CBD5E1"/>
            </w:tcBorders>
            <w:shd w:fill="F8FAFC"/>
          </w:tcPr>
          <w:p>
            <w:pPr>
              <w:spacing w:before="0" w:after="0"/>
              <w:jc w:val="center"/>
            </w:pPr>
            <w:r>
              <w:rPr>
                <w:rFonts w:ascii="Times New Roman" w:hAnsi="Times New Roman"/>
                <w:b w:val="0"/>
                <w:i w:val="0"/>
                <w:color w:val="111827"/>
                <w:sz w:val="15"/>
              </w:rPr>
              <w:t>Classif.</w:t>
            </w:r>
          </w:p>
        </w:tc>
        <w:tc>
          <w:tcPr>
            <w:tcW w:type="dxa" w:w="864"/>
            <w:vAlign w:val="center"/>
            <w:tcBorders>
              <w:top w:val="single" w:sz="4" w:space="0" w:color="CBD5E1"/>
              <w:bottom w:val="single" w:sz="4" w:space="0" w:color="CBD5E1"/>
              <w:left w:val="single" w:sz="4" w:space="0" w:color="CBD5E1"/>
              <w:right w:val="single" w:sz="4" w:space="0" w:color="CBD5E1"/>
            </w:tcBorders>
            <w:shd w:fill="F8FAFC"/>
          </w:tcPr>
          <w:p>
            <w:pPr>
              <w:spacing w:before="0" w:after="0"/>
              <w:jc w:val="center"/>
            </w:pPr>
            <w:r>
              <w:rPr>
                <w:rFonts w:ascii="Times New Roman" w:hAnsi="Times New Roman"/>
                <w:b w:val="0"/>
                <w:i w:val="0"/>
                <w:color w:val="111827"/>
                <w:sz w:val="15"/>
              </w:rPr>
              <w:t>96.6%</w:t>
            </w:r>
          </w:p>
        </w:tc>
        <w:tc>
          <w:tcPr>
            <w:tcW w:type="dxa" w:w="864"/>
            <w:vAlign w:val="center"/>
            <w:tcBorders>
              <w:top w:val="single" w:sz="4" w:space="0" w:color="CBD5E1"/>
              <w:bottom w:val="single" w:sz="4" w:space="0" w:color="CBD5E1"/>
              <w:left w:val="single" w:sz="4" w:space="0" w:color="CBD5E1"/>
              <w:right w:val="single" w:sz="4" w:space="0" w:color="CBD5E1"/>
            </w:tcBorders>
            <w:shd w:fill="F8FAFC"/>
          </w:tcPr>
          <w:p>
            <w:pPr>
              <w:spacing w:before="0" w:after="0"/>
              <w:jc w:val="center"/>
            </w:pPr>
            <w:r>
              <w:rPr>
                <w:rFonts w:ascii="Times New Roman" w:hAnsi="Times New Roman"/>
                <w:b w:val="0"/>
                <w:i w:val="0"/>
                <w:color w:val="111827"/>
                <w:sz w:val="15"/>
              </w:rPr>
              <w:t>12.4%</w:t>
            </w:r>
          </w:p>
        </w:tc>
        <w:tc>
          <w:tcPr>
            <w:tcW w:type="dxa" w:w="864"/>
            <w:vAlign w:val="center"/>
            <w:tcBorders>
              <w:top w:val="single" w:sz="4" w:space="0" w:color="CBD5E1"/>
              <w:bottom w:val="single" w:sz="4" w:space="0" w:color="CBD5E1"/>
              <w:left w:val="single" w:sz="4" w:space="0" w:color="CBD5E1"/>
              <w:right w:val="single" w:sz="4" w:space="0" w:color="CBD5E1"/>
            </w:tcBorders>
            <w:shd w:fill="F8FAFC"/>
          </w:tcPr>
          <w:p>
            <w:pPr>
              <w:spacing w:before="0" w:after="0"/>
              <w:jc w:val="center"/>
            </w:pPr>
            <w:r>
              <w:rPr>
                <w:rFonts w:ascii="Times New Roman" w:hAnsi="Times New Roman"/>
                <w:b w:val="0"/>
                <w:i w:val="0"/>
                <w:color w:val="111827"/>
                <w:sz w:val="15"/>
              </w:rPr>
              <w:t>99.4%</w:t>
            </w:r>
          </w:p>
        </w:tc>
        <w:tc>
          <w:tcPr>
            <w:tcW w:type="dxa" w:w="864"/>
            <w:vAlign w:val="center"/>
            <w:tcBorders>
              <w:top w:val="single" w:sz="4" w:space="0" w:color="CBD5E1"/>
              <w:bottom w:val="single" w:sz="4" w:space="0" w:color="CBD5E1"/>
              <w:left w:val="single" w:sz="4" w:space="0" w:color="CBD5E1"/>
              <w:right w:val="single" w:sz="4" w:space="0" w:color="CBD5E1"/>
            </w:tcBorders>
            <w:shd w:fill="F8FAFC"/>
          </w:tcPr>
          <w:p>
            <w:pPr>
              <w:spacing w:before="0" w:after="0"/>
              <w:jc w:val="center"/>
            </w:pPr>
            <w:r>
              <w:rPr>
                <w:rFonts w:ascii="Times New Roman" w:hAnsi="Times New Roman"/>
                <w:b w:val="0"/>
                <w:i w:val="0"/>
                <w:color w:val="111827"/>
                <w:sz w:val="15"/>
              </w:rPr>
              <w:t>54.1%</w:t>
            </w:r>
          </w:p>
        </w:tc>
        <w:tc>
          <w:tcPr>
            <w:tcW w:type="dxa" w:w="720"/>
            <w:vAlign w:val="center"/>
            <w:tcBorders>
              <w:top w:val="single" w:sz="4" w:space="0" w:color="CBD5E1"/>
              <w:bottom w:val="single" w:sz="4" w:space="0" w:color="CBD5E1"/>
              <w:left w:val="single" w:sz="4" w:space="0" w:color="CBD5E1"/>
              <w:right w:val="single" w:sz="4" w:space="0" w:color="CBD5E1"/>
            </w:tcBorders>
            <w:shd w:fill="F8FAFC"/>
          </w:tcPr>
          <w:p>
            <w:pPr>
              <w:spacing w:before="0" w:after="0"/>
              <w:jc w:val="center"/>
            </w:pPr>
            <w:r>
              <w:rPr>
                <w:rFonts w:ascii="Times New Roman" w:hAnsi="Times New Roman"/>
                <w:b w:val="0"/>
                <w:i w:val="0"/>
                <w:color w:val="111827"/>
                <w:sz w:val="15"/>
              </w:rPr>
              <w:t>0.202</w:t>
            </w:r>
          </w:p>
        </w:tc>
        <w:tc>
          <w:tcPr>
            <w:tcW w:type="dxa" w:w="864"/>
            <w:vAlign w:val="center"/>
            <w:tcBorders>
              <w:top w:val="single" w:sz="4" w:space="0" w:color="CBD5E1"/>
              <w:bottom w:val="single" w:sz="4" w:space="0" w:color="CBD5E1"/>
              <w:left w:val="single" w:sz="4" w:space="0" w:color="CBD5E1"/>
              <w:right w:val="single" w:sz="4" w:space="0" w:color="CBD5E1"/>
            </w:tcBorders>
            <w:shd w:fill="F8FAFC"/>
          </w:tcPr>
          <w:p>
            <w:pPr>
              <w:spacing w:before="0" w:after="0"/>
              <w:jc w:val="center"/>
            </w:pPr>
            <w:r>
              <w:rPr>
                <w:rFonts w:ascii="Times New Roman" w:hAnsi="Times New Roman"/>
                <w:b w:val="0"/>
                <w:i w:val="0"/>
                <w:color w:val="111827"/>
                <w:sz w:val="15"/>
              </w:rPr>
              <w:t>0.672</w:t>
            </w:r>
          </w:p>
        </w:tc>
        <w:tc>
          <w:tcPr>
            <w:tcW w:type="dxa" w:w="1584"/>
            <w:vAlign w:val="center"/>
            <w:tcBorders>
              <w:top w:val="single" w:sz="4" w:space="0" w:color="CBD5E1"/>
              <w:bottom w:val="single" w:sz="4" w:space="0" w:color="CBD5E1"/>
              <w:left w:val="single" w:sz="4" w:space="0" w:color="CBD5E1"/>
              <w:right w:val="single" w:sz="4" w:space="0" w:color="CBD5E1"/>
            </w:tcBorders>
            <w:shd w:fill="F8FAFC"/>
          </w:tcPr>
          <w:p>
            <w:pPr>
              <w:spacing w:before="0" w:after="0"/>
              <w:jc w:val="center"/>
            </w:pPr>
            <w:r>
              <w:rPr>
                <w:rFonts w:ascii="Times New Roman" w:hAnsi="Times New Roman"/>
                <w:b w:val="0"/>
                <w:i w:val="0"/>
                <w:color w:val="111827"/>
                <w:sz w:val="15"/>
              </w:rPr>
              <w:t>—</w:t>
            </w:r>
          </w:p>
        </w:tc>
        <w:tc>
          <w:tcPr>
            <w:tcW w:type="dxa" w:w="864"/>
            <w:vAlign w:val="center"/>
            <w:tcBorders>
              <w:top w:val="single" w:sz="4" w:space="0" w:color="CBD5E1"/>
              <w:bottom w:val="single" w:sz="4" w:space="0" w:color="CBD5E1"/>
              <w:left w:val="single" w:sz="4" w:space="0" w:color="CBD5E1"/>
              <w:right w:val="single" w:sz="4" w:space="0" w:color="CBD5E1"/>
            </w:tcBorders>
            <w:shd w:fill="F8FAFC"/>
          </w:tcPr>
          <w:p>
            <w:pPr>
              <w:spacing w:before="0" w:after="0"/>
              <w:jc w:val="center"/>
            </w:pPr>
            <w:r>
              <w:rPr>
                <w:rFonts w:ascii="Times New Roman" w:hAnsi="Times New Roman"/>
                <w:b w:val="0"/>
                <w:i w:val="0"/>
                <w:color w:val="111827"/>
                <w:sz w:val="15"/>
              </w:rPr>
              <w:t>1.2 ms</w:t>
            </w:r>
          </w:p>
        </w:tc>
      </w:tr>
      <w:tr>
        <w:tc>
          <w:tcPr>
            <w:tcW w:type="dxa" w:w="2016"/>
            <w:vAlign w:val="center"/>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5"/>
              </w:rPr>
              <w:t>Random Forest (100T)</w:t>
            </w:r>
          </w:p>
        </w:tc>
        <w:tc>
          <w:tcPr>
            <w:tcW w:type="dxa" w:w="864"/>
            <w:vAlign w:val="center"/>
            <w:tcBorders>
              <w:top w:val="single" w:sz="4" w:space="0" w:color="CBD5E1"/>
              <w:bottom w:val="single" w:sz="4" w:space="0" w:color="CBD5E1"/>
              <w:left w:val="single" w:sz="4" w:space="0" w:color="CBD5E1"/>
              <w:right w:val="single" w:sz="4" w:space="0" w:color="CBD5E1"/>
            </w:tcBorders>
          </w:tcPr>
          <w:p>
            <w:pPr>
              <w:spacing w:before="0" w:after="0"/>
              <w:jc w:val="center"/>
            </w:pPr>
            <w:r>
              <w:rPr>
                <w:rFonts w:ascii="Times New Roman" w:hAnsi="Times New Roman"/>
                <w:b w:val="0"/>
                <w:i w:val="0"/>
                <w:color w:val="111827"/>
                <w:sz w:val="15"/>
              </w:rPr>
              <w:t>Classif.</w:t>
            </w:r>
          </w:p>
        </w:tc>
        <w:tc>
          <w:tcPr>
            <w:tcW w:type="dxa" w:w="864"/>
            <w:vAlign w:val="center"/>
            <w:tcBorders>
              <w:top w:val="single" w:sz="4" w:space="0" w:color="CBD5E1"/>
              <w:bottom w:val="single" w:sz="4" w:space="0" w:color="CBD5E1"/>
              <w:left w:val="single" w:sz="4" w:space="0" w:color="CBD5E1"/>
              <w:right w:val="single" w:sz="4" w:space="0" w:color="CBD5E1"/>
            </w:tcBorders>
          </w:tcPr>
          <w:p>
            <w:pPr>
              <w:spacing w:before="0" w:after="0"/>
              <w:jc w:val="center"/>
            </w:pPr>
            <w:r>
              <w:rPr>
                <w:rFonts w:ascii="Times New Roman" w:hAnsi="Times New Roman"/>
                <w:b w:val="0"/>
                <w:i w:val="0"/>
                <w:color w:val="111827"/>
                <w:sz w:val="15"/>
              </w:rPr>
              <w:t>97.4%</w:t>
            </w:r>
          </w:p>
        </w:tc>
        <w:tc>
          <w:tcPr>
            <w:tcW w:type="dxa" w:w="864"/>
            <w:vAlign w:val="center"/>
            <w:tcBorders>
              <w:top w:val="single" w:sz="4" w:space="0" w:color="CBD5E1"/>
              <w:bottom w:val="single" w:sz="4" w:space="0" w:color="CBD5E1"/>
              <w:left w:val="single" w:sz="4" w:space="0" w:color="CBD5E1"/>
              <w:right w:val="single" w:sz="4" w:space="0" w:color="CBD5E1"/>
            </w:tcBorders>
          </w:tcPr>
          <w:p>
            <w:pPr>
              <w:spacing w:before="0" w:after="0"/>
              <w:jc w:val="center"/>
            </w:pPr>
            <w:r>
              <w:rPr>
                <w:rFonts w:ascii="Times New Roman" w:hAnsi="Times New Roman"/>
                <w:b w:val="0"/>
                <w:i w:val="0"/>
                <w:color w:val="111827"/>
                <w:sz w:val="15"/>
              </w:rPr>
              <w:t>71.9%</w:t>
            </w:r>
          </w:p>
        </w:tc>
        <w:tc>
          <w:tcPr>
            <w:tcW w:type="dxa" w:w="864"/>
            <w:vAlign w:val="center"/>
            <w:tcBorders>
              <w:top w:val="single" w:sz="4" w:space="0" w:color="CBD5E1"/>
              <w:bottom w:val="single" w:sz="4" w:space="0" w:color="CBD5E1"/>
              <w:left w:val="single" w:sz="4" w:space="0" w:color="CBD5E1"/>
              <w:right w:val="single" w:sz="4" w:space="0" w:color="CBD5E1"/>
            </w:tcBorders>
          </w:tcPr>
          <w:p>
            <w:pPr>
              <w:spacing w:before="0" w:after="0"/>
              <w:jc w:val="center"/>
            </w:pPr>
            <w:r>
              <w:rPr>
                <w:rFonts w:ascii="Times New Roman" w:hAnsi="Times New Roman"/>
                <w:b w:val="0"/>
                <w:i w:val="0"/>
                <w:color w:val="111827"/>
                <w:sz w:val="15"/>
              </w:rPr>
              <w:t>98.1%</w:t>
            </w:r>
          </w:p>
        </w:tc>
        <w:tc>
          <w:tcPr>
            <w:tcW w:type="dxa" w:w="864"/>
            <w:vAlign w:val="center"/>
            <w:tcBorders>
              <w:top w:val="single" w:sz="4" w:space="0" w:color="CBD5E1"/>
              <w:bottom w:val="single" w:sz="4" w:space="0" w:color="CBD5E1"/>
              <w:left w:val="single" w:sz="4" w:space="0" w:color="CBD5E1"/>
              <w:right w:val="single" w:sz="4" w:space="0" w:color="CBD5E1"/>
            </w:tcBorders>
          </w:tcPr>
          <w:p>
            <w:pPr>
              <w:spacing w:before="0" w:after="0"/>
              <w:jc w:val="center"/>
            </w:pPr>
            <w:r>
              <w:rPr>
                <w:rFonts w:ascii="Times New Roman" w:hAnsi="Times New Roman"/>
                <w:b w:val="0"/>
                <w:i w:val="0"/>
                <w:color w:val="111827"/>
                <w:sz w:val="15"/>
              </w:rPr>
              <w:t>68.2%</w:t>
            </w:r>
          </w:p>
        </w:tc>
        <w:tc>
          <w:tcPr>
            <w:tcW w:type="dxa" w:w="720"/>
            <w:vAlign w:val="center"/>
            <w:tcBorders>
              <w:top w:val="single" w:sz="4" w:space="0" w:color="CBD5E1"/>
              <w:bottom w:val="single" w:sz="4" w:space="0" w:color="CBD5E1"/>
              <w:left w:val="single" w:sz="4" w:space="0" w:color="CBD5E1"/>
              <w:right w:val="single" w:sz="4" w:space="0" w:color="CBD5E1"/>
            </w:tcBorders>
          </w:tcPr>
          <w:p>
            <w:pPr>
              <w:spacing w:before="0" w:after="0"/>
              <w:jc w:val="center"/>
            </w:pPr>
            <w:r>
              <w:rPr>
                <w:rFonts w:ascii="Times New Roman" w:hAnsi="Times New Roman"/>
                <w:b w:val="0"/>
                <w:i w:val="0"/>
                <w:color w:val="111827"/>
                <w:sz w:val="15"/>
              </w:rPr>
              <w:t>0.700</w:t>
            </w:r>
          </w:p>
        </w:tc>
        <w:tc>
          <w:tcPr>
            <w:tcW w:type="dxa" w:w="864"/>
            <w:vAlign w:val="center"/>
            <w:tcBorders>
              <w:top w:val="single" w:sz="4" w:space="0" w:color="CBD5E1"/>
              <w:bottom w:val="single" w:sz="4" w:space="0" w:color="CBD5E1"/>
              <w:left w:val="single" w:sz="4" w:space="0" w:color="CBD5E1"/>
              <w:right w:val="single" w:sz="4" w:space="0" w:color="CBD5E1"/>
            </w:tcBorders>
          </w:tcPr>
          <w:p>
            <w:pPr>
              <w:spacing w:before="0" w:after="0"/>
              <w:jc w:val="center"/>
            </w:pPr>
            <w:r>
              <w:rPr>
                <w:rFonts w:ascii="Times New Roman" w:hAnsi="Times New Roman"/>
                <w:b w:val="0"/>
                <w:i w:val="0"/>
                <w:color w:val="111827"/>
                <w:sz w:val="15"/>
              </w:rPr>
              <w:t>0.891</w:t>
            </w:r>
          </w:p>
        </w:tc>
        <w:tc>
          <w:tcPr>
            <w:tcW w:type="dxa" w:w="1584"/>
            <w:vAlign w:val="center"/>
            <w:tcBorders>
              <w:top w:val="single" w:sz="4" w:space="0" w:color="CBD5E1"/>
              <w:bottom w:val="single" w:sz="4" w:space="0" w:color="CBD5E1"/>
              <w:left w:val="single" w:sz="4" w:space="0" w:color="CBD5E1"/>
              <w:right w:val="single" w:sz="4" w:space="0" w:color="CBD5E1"/>
            </w:tcBorders>
          </w:tcPr>
          <w:p>
            <w:pPr>
              <w:spacing w:before="0" w:after="0"/>
              <w:jc w:val="center"/>
            </w:pPr>
            <w:r>
              <w:rPr>
                <w:rFonts w:ascii="Times New Roman" w:hAnsi="Times New Roman"/>
                <w:b w:val="0"/>
                <w:i w:val="0"/>
                <w:color w:val="111827"/>
                <w:sz w:val="15"/>
              </w:rPr>
              <w:t>—</w:t>
            </w:r>
          </w:p>
        </w:tc>
        <w:tc>
          <w:tcPr>
            <w:tcW w:type="dxa" w:w="864"/>
            <w:vAlign w:val="center"/>
            <w:tcBorders>
              <w:top w:val="single" w:sz="4" w:space="0" w:color="CBD5E1"/>
              <w:bottom w:val="single" w:sz="4" w:space="0" w:color="CBD5E1"/>
              <w:left w:val="single" w:sz="4" w:space="0" w:color="CBD5E1"/>
              <w:right w:val="single" w:sz="4" w:space="0" w:color="CBD5E1"/>
            </w:tcBorders>
          </w:tcPr>
          <w:p>
            <w:pPr>
              <w:spacing w:before="0" w:after="0"/>
              <w:jc w:val="center"/>
            </w:pPr>
            <w:r>
              <w:rPr>
                <w:rFonts w:ascii="Times New Roman" w:hAnsi="Times New Roman"/>
                <w:b w:val="0"/>
                <w:i w:val="0"/>
                <w:color w:val="111827"/>
                <w:sz w:val="15"/>
              </w:rPr>
              <w:t>8.4 ms</w:t>
            </w:r>
          </w:p>
        </w:tc>
      </w:tr>
      <w:tr>
        <w:tc>
          <w:tcPr>
            <w:tcW w:type="dxa" w:w="2016"/>
            <w:vAlign w:val="center"/>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i w:val="0"/>
                <w:color w:val="111827"/>
                <w:sz w:val="15"/>
              </w:rPr>
              <w:t>XGBoost (Proposed)</w:t>
            </w:r>
          </w:p>
        </w:tc>
        <w:tc>
          <w:tcPr>
            <w:tcW w:type="dxa" w:w="864"/>
            <w:vAlign w:val="center"/>
            <w:tcBorders>
              <w:top w:val="single" w:sz="4" w:space="0" w:color="CBD5E1"/>
              <w:bottom w:val="single" w:sz="4" w:space="0" w:color="CBD5E1"/>
              <w:left w:val="single" w:sz="4" w:space="0" w:color="CBD5E1"/>
              <w:right w:val="single" w:sz="4" w:space="0" w:color="CBD5E1"/>
            </w:tcBorders>
            <w:shd w:fill="F8FAFC"/>
          </w:tcPr>
          <w:p>
            <w:pPr>
              <w:spacing w:before="0" w:after="0"/>
              <w:jc w:val="center"/>
            </w:pPr>
            <w:r>
              <w:rPr>
                <w:rFonts w:ascii="Times New Roman" w:hAnsi="Times New Roman"/>
                <w:b/>
                <w:i w:val="0"/>
                <w:color w:val="111827"/>
                <w:sz w:val="15"/>
              </w:rPr>
              <w:t>Classif.</w:t>
            </w:r>
          </w:p>
        </w:tc>
        <w:tc>
          <w:tcPr>
            <w:tcW w:type="dxa" w:w="864"/>
            <w:vAlign w:val="center"/>
            <w:tcBorders>
              <w:top w:val="single" w:sz="4" w:space="0" w:color="CBD5E1"/>
              <w:bottom w:val="single" w:sz="4" w:space="0" w:color="CBD5E1"/>
              <w:left w:val="single" w:sz="4" w:space="0" w:color="CBD5E1"/>
              <w:right w:val="single" w:sz="4" w:space="0" w:color="CBD5E1"/>
            </w:tcBorders>
            <w:shd w:fill="F8FAFC"/>
          </w:tcPr>
          <w:p>
            <w:pPr>
              <w:spacing w:before="0" w:after="0"/>
              <w:jc w:val="center"/>
            </w:pPr>
            <w:r>
              <w:rPr>
                <w:rFonts w:ascii="Times New Roman" w:hAnsi="Times New Roman"/>
                <w:b/>
                <w:i w:val="0"/>
                <w:color w:val="111827"/>
                <w:sz w:val="15"/>
              </w:rPr>
              <w:t>97.8%</w:t>
            </w:r>
          </w:p>
        </w:tc>
        <w:tc>
          <w:tcPr>
            <w:tcW w:type="dxa" w:w="864"/>
            <w:vAlign w:val="center"/>
            <w:tcBorders>
              <w:top w:val="single" w:sz="4" w:space="0" w:color="CBD5E1"/>
              <w:bottom w:val="single" w:sz="4" w:space="0" w:color="CBD5E1"/>
              <w:left w:val="single" w:sz="4" w:space="0" w:color="CBD5E1"/>
              <w:right w:val="single" w:sz="4" w:space="0" w:color="CBD5E1"/>
            </w:tcBorders>
            <w:shd w:fill="F8FAFC"/>
          </w:tcPr>
          <w:p>
            <w:pPr>
              <w:spacing w:before="0" w:after="0"/>
              <w:jc w:val="center"/>
            </w:pPr>
            <w:r>
              <w:rPr>
                <w:rFonts w:ascii="Times New Roman" w:hAnsi="Times New Roman"/>
                <w:b/>
                <w:i w:val="0"/>
                <w:color w:val="111827"/>
                <w:sz w:val="15"/>
              </w:rPr>
              <w:t>85.3%</w:t>
            </w:r>
          </w:p>
        </w:tc>
        <w:tc>
          <w:tcPr>
            <w:tcW w:type="dxa" w:w="864"/>
            <w:vAlign w:val="center"/>
            <w:tcBorders>
              <w:top w:val="single" w:sz="4" w:space="0" w:color="CBD5E1"/>
              <w:bottom w:val="single" w:sz="4" w:space="0" w:color="CBD5E1"/>
              <w:left w:val="single" w:sz="4" w:space="0" w:color="CBD5E1"/>
              <w:right w:val="single" w:sz="4" w:space="0" w:color="CBD5E1"/>
            </w:tcBorders>
            <w:shd w:fill="F8FAFC"/>
          </w:tcPr>
          <w:p>
            <w:pPr>
              <w:spacing w:before="0" w:after="0"/>
              <w:jc w:val="center"/>
            </w:pPr>
            <w:r>
              <w:rPr>
                <w:rFonts w:ascii="Times New Roman" w:hAnsi="Times New Roman"/>
                <w:b/>
                <w:i w:val="0"/>
                <w:color w:val="111827"/>
                <w:sz w:val="15"/>
              </w:rPr>
              <w:t>94.0%</w:t>
            </w:r>
          </w:p>
        </w:tc>
        <w:tc>
          <w:tcPr>
            <w:tcW w:type="dxa" w:w="864"/>
            <w:vAlign w:val="center"/>
            <w:tcBorders>
              <w:top w:val="single" w:sz="4" w:space="0" w:color="CBD5E1"/>
              <w:bottom w:val="single" w:sz="4" w:space="0" w:color="CBD5E1"/>
              <w:left w:val="single" w:sz="4" w:space="0" w:color="CBD5E1"/>
              <w:right w:val="single" w:sz="4" w:space="0" w:color="CBD5E1"/>
            </w:tcBorders>
            <w:shd w:fill="F8FAFC"/>
          </w:tcPr>
          <w:p>
            <w:pPr>
              <w:spacing w:before="0" w:after="0"/>
              <w:jc w:val="center"/>
            </w:pPr>
            <w:r>
              <w:rPr>
                <w:rFonts w:ascii="Times New Roman" w:hAnsi="Times New Roman"/>
                <w:b/>
                <w:i w:val="0"/>
                <w:color w:val="111827"/>
                <w:sz w:val="15"/>
              </w:rPr>
              <w:t>63.4%</w:t>
            </w:r>
          </w:p>
        </w:tc>
        <w:tc>
          <w:tcPr>
            <w:tcW w:type="dxa" w:w="720"/>
            <w:vAlign w:val="center"/>
            <w:tcBorders>
              <w:top w:val="single" w:sz="4" w:space="0" w:color="CBD5E1"/>
              <w:bottom w:val="single" w:sz="4" w:space="0" w:color="CBD5E1"/>
              <w:left w:val="single" w:sz="4" w:space="0" w:color="CBD5E1"/>
              <w:right w:val="single" w:sz="4" w:space="0" w:color="CBD5E1"/>
            </w:tcBorders>
            <w:shd w:fill="F8FAFC"/>
          </w:tcPr>
          <w:p>
            <w:pPr>
              <w:spacing w:before="0" w:after="0"/>
              <w:jc w:val="center"/>
            </w:pPr>
            <w:r>
              <w:rPr>
                <w:rFonts w:ascii="Times New Roman" w:hAnsi="Times New Roman"/>
                <w:b/>
                <w:i w:val="0"/>
                <w:color w:val="111827"/>
                <w:sz w:val="15"/>
              </w:rPr>
              <w:t>0.727</w:t>
            </w:r>
          </w:p>
        </w:tc>
        <w:tc>
          <w:tcPr>
            <w:tcW w:type="dxa" w:w="864"/>
            <w:vAlign w:val="center"/>
            <w:tcBorders>
              <w:top w:val="single" w:sz="4" w:space="0" w:color="CBD5E1"/>
              <w:bottom w:val="single" w:sz="4" w:space="0" w:color="CBD5E1"/>
              <w:left w:val="single" w:sz="4" w:space="0" w:color="CBD5E1"/>
              <w:right w:val="single" w:sz="4" w:space="0" w:color="CBD5E1"/>
            </w:tcBorders>
            <w:shd w:fill="F8FAFC"/>
          </w:tcPr>
          <w:p>
            <w:pPr>
              <w:spacing w:before="0" w:after="0"/>
              <w:jc w:val="center"/>
            </w:pPr>
            <w:r>
              <w:rPr>
                <w:rFonts w:ascii="Times New Roman" w:hAnsi="Times New Roman"/>
                <w:b/>
                <w:i w:val="0"/>
                <w:color w:val="111827"/>
                <w:sz w:val="15"/>
              </w:rPr>
              <w:t>0.937</w:t>
            </w:r>
          </w:p>
        </w:tc>
        <w:tc>
          <w:tcPr>
            <w:tcW w:type="dxa" w:w="1584"/>
            <w:vAlign w:val="center"/>
            <w:tcBorders>
              <w:top w:val="single" w:sz="4" w:space="0" w:color="CBD5E1"/>
              <w:bottom w:val="single" w:sz="4" w:space="0" w:color="CBD5E1"/>
              <w:left w:val="single" w:sz="4" w:space="0" w:color="CBD5E1"/>
              <w:right w:val="single" w:sz="4" w:space="0" w:color="CBD5E1"/>
            </w:tcBorders>
            <w:shd w:fill="F8FAFC"/>
          </w:tcPr>
          <w:p>
            <w:pPr>
              <w:spacing w:before="0" w:after="0"/>
              <w:jc w:val="center"/>
            </w:pPr>
            <w:r>
              <w:rPr>
                <w:rFonts w:ascii="Times New Roman" w:hAnsi="Times New Roman"/>
                <w:b/>
                <w:i w:val="0"/>
                <w:color w:val="111827"/>
                <w:sz w:val="15"/>
              </w:rPr>
              <w:t>—</w:t>
            </w:r>
          </w:p>
        </w:tc>
        <w:tc>
          <w:tcPr>
            <w:tcW w:type="dxa" w:w="864"/>
            <w:vAlign w:val="center"/>
            <w:tcBorders>
              <w:top w:val="single" w:sz="4" w:space="0" w:color="CBD5E1"/>
              <w:bottom w:val="single" w:sz="4" w:space="0" w:color="CBD5E1"/>
              <w:left w:val="single" w:sz="4" w:space="0" w:color="CBD5E1"/>
              <w:right w:val="single" w:sz="4" w:space="0" w:color="CBD5E1"/>
            </w:tcBorders>
            <w:shd w:fill="F8FAFC"/>
          </w:tcPr>
          <w:p>
            <w:pPr>
              <w:spacing w:before="0" w:after="0"/>
              <w:jc w:val="center"/>
            </w:pPr>
            <w:r>
              <w:rPr>
                <w:rFonts w:ascii="Times New Roman" w:hAnsi="Times New Roman"/>
                <w:b/>
                <w:i w:val="0"/>
                <w:color w:val="111827"/>
                <w:sz w:val="15"/>
              </w:rPr>
              <w:t>5.1 ms</w:t>
            </w:r>
          </w:p>
        </w:tc>
      </w:tr>
      <w:tr>
        <w:tc>
          <w:tcPr>
            <w:tcW w:type="dxa" w:w="2016"/>
            <w:vAlign w:val="center"/>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5"/>
              </w:rPr>
              <w:t>Stacked LSTM (64u+32u)</w:t>
            </w:r>
          </w:p>
        </w:tc>
        <w:tc>
          <w:tcPr>
            <w:tcW w:type="dxa" w:w="864"/>
            <w:vAlign w:val="center"/>
            <w:tcBorders>
              <w:top w:val="single" w:sz="4" w:space="0" w:color="CBD5E1"/>
              <w:bottom w:val="single" w:sz="4" w:space="0" w:color="CBD5E1"/>
              <w:left w:val="single" w:sz="4" w:space="0" w:color="CBD5E1"/>
              <w:right w:val="single" w:sz="4" w:space="0" w:color="CBD5E1"/>
            </w:tcBorders>
          </w:tcPr>
          <w:p>
            <w:pPr>
              <w:spacing w:before="0" w:after="0"/>
              <w:jc w:val="center"/>
            </w:pPr>
            <w:r>
              <w:rPr>
                <w:rFonts w:ascii="Times New Roman" w:hAnsi="Times New Roman"/>
                <w:b w:val="0"/>
                <w:i w:val="0"/>
                <w:color w:val="111827"/>
                <w:sz w:val="15"/>
              </w:rPr>
              <w:t>Prognos.</w:t>
            </w:r>
          </w:p>
        </w:tc>
        <w:tc>
          <w:tcPr>
            <w:tcW w:type="dxa" w:w="864"/>
            <w:vAlign w:val="center"/>
            <w:tcBorders>
              <w:top w:val="single" w:sz="4" w:space="0" w:color="CBD5E1"/>
              <w:bottom w:val="single" w:sz="4" w:space="0" w:color="CBD5E1"/>
              <w:left w:val="single" w:sz="4" w:space="0" w:color="CBD5E1"/>
              <w:right w:val="single" w:sz="4" w:space="0" w:color="CBD5E1"/>
            </w:tcBorders>
          </w:tcPr>
          <w:p>
            <w:pPr>
              <w:spacing w:before="0" w:after="0"/>
              <w:jc w:val="center"/>
            </w:pPr>
            <w:r>
              <w:rPr>
                <w:rFonts w:ascii="Times New Roman" w:hAnsi="Times New Roman"/>
                <w:b w:val="0"/>
                <w:i w:val="0"/>
                <w:color w:val="111827"/>
                <w:sz w:val="15"/>
              </w:rPr>
              <w:t>—</w:t>
            </w:r>
          </w:p>
        </w:tc>
        <w:tc>
          <w:tcPr>
            <w:tcW w:type="dxa" w:w="864"/>
            <w:vAlign w:val="center"/>
            <w:tcBorders>
              <w:top w:val="single" w:sz="4" w:space="0" w:color="CBD5E1"/>
              <w:bottom w:val="single" w:sz="4" w:space="0" w:color="CBD5E1"/>
              <w:left w:val="single" w:sz="4" w:space="0" w:color="CBD5E1"/>
              <w:right w:val="single" w:sz="4" w:space="0" w:color="CBD5E1"/>
            </w:tcBorders>
          </w:tcPr>
          <w:p>
            <w:pPr>
              <w:spacing w:before="0" w:after="0"/>
              <w:jc w:val="center"/>
            </w:pPr>
            <w:r>
              <w:rPr>
                <w:rFonts w:ascii="Times New Roman" w:hAnsi="Times New Roman"/>
                <w:b w:val="0"/>
                <w:i w:val="0"/>
                <w:color w:val="111827"/>
                <w:sz w:val="15"/>
              </w:rPr>
              <w:t>—</w:t>
            </w:r>
          </w:p>
        </w:tc>
        <w:tc>
          <w:tcPr>
            <w:tcW w:type="dxa" w:w="864"/>
            <w:vAlign w:val="center"/>
            <w:tcBorders>
              <w:top w:val="single" w:sz="4" w:space="0" w:color="CBD5E1"/>
              <w:bottom w:val="single" w:sz="4" w:space="0" w:color="CBD5E1"/>
              <w:left w:val="single" w:sz="4" w:space="0" w:color="CBD5E1"/>
              <w:right w:val="single" w:sz="4" w:space="0" w:color="CBD5E1"/>
            </w:tcBorders>
          </w:tcPr>
          <w:p>
            <w:pPr>
              <w:spacing w:before="0" w:after="0"/>
              <w:jc w:val="center"/>
            </w:pPr>
            <w:r>
              <w:rPr>
                <w:rFonts w:ascii="Times New Roman" w:hAnsi="Times New Roman"/>
                <w:b w:val="0"/>
                <w:i w:val="0"/>
                <w:color w:val="111827"/>
                <w:sz w:val="15"/>
              </w:rPr>
              <w:t>—</w:t>
            </w:r>
          </w:p>
        </w:tc>
        <w:tc>
          <w:tcPr>
            <w:tcW w:type="dxa" w:w="864"/>
            <w:vAlign w:val="center"/>
            <w:tcBorders>
              <w:top w:val="single" w:sz="4" w:space="0" w:color="CBD5E1"/>
              <w:bottom w:val="single" w:sz="4" w:space="0" w:color="CBD5E1"/>
              <w:left w:val="single" w:sz="4" w:space="0" w:color="CBD5E1"/>
              <w:right w:val="single" w:sz="4" w:space="0" w:color="CBD5E1"/>
            </w:tcBorders>
          </w:tcPr>
          <w:p>
            <w:pPr>
              <w:spacing w:before="0" w:after="0"/>
              <w:jc w:val="center"/>
            </w:pPr>
            <w:r>
              <w:rPr>
                <w:rFonts w:ascii="Times New Roman" w:hAnsi="Times New Roman"/>
                <w:b w:val="0"/>
                <w:i w:val="0"/>
                <w:color w:val="111827"/>
                <w:sz w:val="15"/>
              </w:rPr>
              <w:t>—</w:t>
            </w:r>
          </w:p>
        </w:tc>
        <w:tc>
          <w:tcPr>
            <w:tcW w:type="dxa" w:w="720"/>
            <w:vAlign w:val="center"/>
            <w:tcBorders>
              <w:top w:val="single" w:sz="4" w:space="0" w:color="CBD5E1"/>
              <w:bottom w:val="single" w:sz="4" w:space="0" w:color="CBD5E1"/>
              <w:left w:val="single" w:sz="4" w:space="0" w:color="CBD5E1"/>
              <w:right w:val="single" w:sz="4" w:space="0" w:color="CBD5E1"/>
            </w:tcBorders>
          </w:tcPr>
          <w:p>
            <w:pPr>
              <w:spacing w:before="0" w:after="0"/>
              <w:jc w:val="center"/>
            </w:pPr>
            <w:r>
              <w:rPr>
                <w:rFonts w:ascii="Times New Roman" w:hAnsi="Times New Roman"/>
                <w:b w:val="0"/>
                <w:i w:val="0"/>
                <w:color w:val="111827"/>
                <w:sz w:val="15"/>
              </w:rPr>
              <w:t>—</w:t>
            </w:r>
          </w:p>
        </w:tc>
        <w:tc>
          <w:tcPr>
            <w:tcW w:type="dxa" w:w="864"/>
            <w:vAlign w:val="center"/>
            <w:tcBorders>
              <w:top w:val="single" w:sz="4" w:space="0" w:color="CBD5E1"/>
              <w:bottom w:val="single" w:sz="4" w:space="0" w:color="CBD5E1"/>
              <w:left w:val="single" w:sz="4" w:space="0" w:color="CBD5E1"/>
              <w:right w:val="single" w:sz="4" w:space="0" w:color="CBD5E1"/>
            </w:tcBorders>
          </w:tcPr>
          <w:p>
            <w:pPr>
              <w:spacing w:before="0" w:after="0"/>
              <w:jc w:val="center"/>
            </w:pPr>
            <w:r>
              <w:rPr>
                <w:rFonts w:ascii="Times New Roman" w:hAnsi="Times New Roman"/>
                <w:b w:val="0"/>
                <w:i w:val="0"/>
                <w:color w:val="111827"/>
                <w:sz w:val="15"/>
              </w:rPr>
              <w:t>—</w:t>
            </w:r>
          </w:p>
        </w:tc>
        <w:tc>
          <w:tcPr>
            <w:tcW w:type="dxa" w:w="1584"/>
            <w:vAlign w:val="center"/>
            <w:tcBorders>
              <w:top w:val="single" w:sz="4" w:space="0" w:color="CBD5E1"/>
              <w:bottom w:val="single" w:sz="4" w:space="0" w:color="CBD5E1"/>
              <w:left w:val="single" w:sz="4" w:space="0" w:color="CBD5E1"/>
              <w:right w:val="single" w:sz="4" w:space="0" w:color="CBD5E1"/>
            </w:tcBorders>
          </w:tcPr>
          <w:p>
            <w:pPr>
              <w:spacing w:before="0" w:after="0"/>
              <w:jc w:val="center"/>
            </w:pPr>
            <w:r>
              <w:rPr>
                <w:rFonts w:ascii="Times New Roman" w:hAnsi="Times New Roman"/>
                <w:b w:val="0"/>
                <w:i w:val="0"/>
                <w:color w:val="111827"/>
                <w:sz w:val="15"/>
              </w:rPr>
              <w:t>30.20 cycles</w:t>
            </w:r>
          </w:p>
        </w:tc>
        <w:tc>
          <w:tcPr>
            <w:tcW w:type="dxa" w:w="864"/>
            <w:vAlign w:val="center"/>
            <w:tcBorders>
              <w:top w:val="single" w:sz="4" w:space="0" w:color="CBD5E1"/>
              <w:bottom w:val="single" w:sz="4" w:space="0" w:color="CBD5E1"/>
              <w:left w:val="single" w:sz="4" w:space="0" w:color="CBD5E1"/>
              <w:right w:val="single" w:sz="4" w:space="0" w:color="CBD5E1"/>
            </w:tcBorders>
          </w:tcPr>
          <w:p>
            <w:pPr>
              <w:spacing w:before="0" w:after="0"/>
              <w:jc w:val="center"/>
            </w:pPr>
            <w:r>
              <w:rPr>
                <w:rFonts w:ascii="Times New Roman" w:hAnsi="Times New Roman"/>
                <w:b w:val="0"/>
                <w:i w:val="0"/>
                <w:color w:val="111827"/>
                <w:sz w:val="15"/>
              </w:rPr>
              <w:t>7.8 ms</w:t>
            </w:r>
          </w:p>
        </w:tc>
      </w:tr>
      <w:tr>
        <w:tc>
          <w:tcPr>
            <w:tcW w:type="dxa" w:w="2016"/>
            <w:vAlign w:val="center"/>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5"/>
              </w:rPr>
              <w:t>MobileNet-V3 Small</w:t>
            </w:r>
          </w:p>
        </w:tc>
        <w:tc>
          <w:tcPr>
            <w:tcW w:type="dxa" w:w="864"/>
            <w:vAlign w:val="center"/>
            <w:tcBorders>
              <w:top w:val="single" w:sz="4" w:space="0" w:color="CBD5E1"/>
              <w:bottom w:val="single" w:sz="4" w:space="0" w:color="CBD5E1"/>
              <w:left w:val="single" w:sz="4" w:space="0" w:color="CBD5E1"/>
              <w:right w:val="single" w:sz="4" w:space="0" w:color="CBD5E1"/>
            </w:tcBorders>
            <w:shd w:fill="F8FAFC"/>
          </w:tcPr>
          <w:p>
            <w:pPr>
              <w:spacing w:before="0" w:after="0"/>
              <w:jc w:val="center"/>
            </w:pPr>
            <w:r>
              <w:rPr>
                <w:rFonts w:ascii="Times New Roman" w:hAnsi="Times New Roman"/>
                <w:b w:val="0"/>
                <w:i w:val="0"/>
                <w:color w:val="111827"/>
                <w:sz w:val="15"/>
              </w:rPr>
              <w:t>Vision</w:t>
            </w:r>
          </w:p>
        </w:tc>
        <w:tc>
          <w:tcPr>
            <w:tcW w:type="dxa" w:w="864"/>
            <w:vAlign w:val="center"/>
            <w:tcBorders>
              <w:top w:val="single" w:sz="4" w:space="0" w:color="CBD5E1"/>
              <w:bottom w:val="single" w:sz="4" w:space="0" w:color="CBD5E1"/>
              <w:left w:val="single" w:sz="4" w:space="0" w:color="CBD5E1"/>
              <w:right w:val="single" w:sz="4" w:space="0" w:color="CBD5E1"/>
            </w:tcBorders>
            <w:shd w:fill="F8FAFC"/>
          </w:tcPr>
          <w:p>
            <w:pPr>
              <w:spacing w:before="0" w:after="0"/>
              <w:jc w:val="center"/>
            </w:pPr>
            <w:r>
              <w:rPr>
                <w:rFonts w:ascii="Times New Roman" w:hAnsi="Times New Roman"/>
                <w:b w:val="0"/>
                <w:i w:val="0"/>
                <w:color w:val="111827"/>
                <w:sz w:val="15"/>
              </w:rPr>
              <w:t>94.8%</w:t>
            </w:r>
          </w:p>
        </w:tc>
        <w:tc>
          <w:tcPr>
            <w:tcW w:type="dxa" w:w="864"/>
            <w:vAlign w:val="center"/>
            <w:tcBorders>
              <w:top w:val="single" w:sz="4" w:space="0" w:color="CBD5E1"/>
              <w:bottom w:val="single" w:sz="4" w:space="0" w:color="CBD5E1"/>
              <w:left w:val="single" w:sz="4" w:space="0" w:color="CBD5E1"/>
              <w:right w:val="single" w:sz="4" w:space="0" w:color="CBD5E1"/>
            </w:tcBorders>
            <w:shd w:fill="F8FAFC"/>
          </w:tcPr>
          <w:p>
            <w:pPr>
              <w:spacing w:before="0" w:after="0"/>
              <w:jc w:val="center"/>
            </w:pPr>
            <w:r>
              <w:rPr>
                <w:rFonts w:ascii="Times New Roman" w:hAnsi="Times New Roman"/>
                <w:b w:val="0"/>
                <w:i w:val="0"/>
                <w:color w:val="111827"/>
                <w:sz w:val="15"/>
              </w:rPr>
              <w:t>91.2%</w:t>
            </w:r>
          </w:p>
        </w:tc>
        <w:tc>
          <w:tcPr>
            <w:tcW w:type="dxa" w:w="864"/>
            <w:vAlign w:val="center"/>
            <w:tcBorders>
              <w:top w:val="single" w:sz="4" w:space="0" w:color="CBD5E1"/>
              <w:bottom w:val="single" w:sz="4" w:space="0" w:color="CBD5E1"/>
              <w:left w:val="single" w:sz="4" w:space="0" w:color="CBD5E1"/>
              <w:right w:val="single" w:sz="4" w:space="0" w:color="CBD5E1"/>
            </w:tcBorders>
            <w:shd w:fill="F8FAFC"/>
          </w:tcPr>
          <w:p>
            <w:pPr>
              <w:spacing w:before="0" w:after="0"/>
              <w:jc w:val="center"/>
            </w:pPr>
            <w:r>
              <w:rPr>
                <w:rFonts w:ascii="Times New Roman" w:hAnsi="Times New Roman"/>
                <w:b w:val="0"/>
                <w:i w:val="0"/>
                <w:color w:val="111827"/>
                <w:sz w:val="15"/>
              </w:rPr>
              <w:t>96.0%</w:t>
            </w:r>
          </w:p>
        </w:tc>
        <w:tc>
          <w:tcPr>
            <w:tcW w:type="dxa" w:w="864"/>
            <w:vAlign w:val="center"/>
            <w:tcBorders>
              <w:top w:val="single" w:sz="4" w:space="0" w:color="CBD5E1"/>
              <w:bottom w:val="single" w:sz="4" w:space="0" w:color="CBD5E1"/>
              <w:left w:val="single" w:sz="4" w:space="0" w:color="CBD5E1"/>
              <w:right w:val="single" w:sz="4" w:space="0" w:color="CBD5E1"/>
            </w:tcBorders>
            <w:shd w:fill="F8FAFC"/>
          </w:tcPr>
          <w:p>
            <w:pPr>
              <w:spacing w:before="0" w:after="0"/>
              <w:jc w:val="center"/>
            </w:pPr>
            <w:r>
              <w:rPr>
                <w:rFonts w:ascii="Times New Roman" w:hAnsi="Times New Roman"/>
                <w:b w:val="0"/>
                <w:i w:val="0"/>
                <w:color w:val="111827"/>
                <w:sz w:val="15"/>
              </w:rPr>
              <w:t>88.4%</w:t>
            </w:r>
          </w:p>
        </w:tc>
        <w:tc>
          <w:tcPr>
            <w:tcW w:type="dxa" w:w="720"/>
            <w:vAlign w:val="center"/>
            <w:tcBorders>
              <w:top w:val="single" w:sz="4" w:space="0" w:color="CBD5E1"/>
              <w:bottom w:val="single" w:sz="4" w:space="0" w:color="CBD5E1"/>
              <w:left w:val="single" w:sz="4" w:space="0" w:color="CBD5E1"/>
              <w:right w:val="single" w:sz="4" w:space="0" w:color="CBD5E1"/>
            </w:tcBorders>
            <w:shd w:fill="F8FAFC"/>
          </w:tcPr>
          <w:p>
            <w:pPr>
              <w:spacing w:before="0" w:after="0"/>
              <w:jc w:val="center"/>
            </w:pPr>
            <w:r>
              <w:rPr>
                <w:rFonts w:ascii="Times New Roman" w:hAnsi="Times New Roman"/>
                <w:b w:val="0"/>
                <w:i w:val="0"/>
                <w:color w:val="111827"/>
                <w:sz w:val="15"/>
              </w:rPr>
              <w:t>0.898</w:t>
            </w:r>
          </w:p>
        </w:tc>
        <w:tc>
          <w:tcPr>
            <w:tcW w:type="dxa" w:w="864"/>
            <w:vAlign w:val="center"/>
            <w:tcBorders>
              <w:top w:val="single" w:sz="4" w:space="0" w:color="CBD5E1"/>
              <w:bottom w:val="single" w:sz="4" w:space="0" w:color="CBD5E1"/>
              <w:left w:val="single" w:sz="4" w:space="0" w:color="CBD5E1"/>
              <w:right w:val="single" w:sz="4" w:space="0" w:color="CBD5E1"/>
            </w:tcBorders>
            <w:shd w:fill="F8FAFC"/>
          </w:tcPr>
          <w:p>
            <w:pPr>
              <w:spacing w:before="0" w:after="0"/>
              <w:jc w:val="center"/>
            </w:pPr>
            <w:r>
              <w:rPr>
                <w:rFonts w:ascii="Times New Roman" w:hAnsi="Times New Roman"/>
                <w:b w:val="0"/>
                <w:i w:val="0"/>
                <w:color w:val="111827"/>
                <w:sz w:val="15"/>
              </w:rPr>
              <w:t>0.952</w:t>
            </w:r>
          </w:p>
        </w:tc>
        <w:tc>
          <w:tcPr>
            <w:tcW w:type="dxa" w:w="1584"/>
            <w:vAlign w:val="center"/>
            <w:tcBorders>
              <w:top w:val="single" w:sz="4" w:space="0" w:color="CBD5E1"/>
              <w:bottom w:val="single" w:sz="4" w:space="0" w:color="CBD5E1"/>
              <w:left w:val="single" w:sz="4" w:space="0" w:color="CBD5E1"/>
              <w:right w:val="single" w:sz="4" w:space="0" w:color="CBD5E1"/>
            </w:tcBorders>
            <w:shd w:fill="F8FAFC"/>
          </w:tcPr>
          <w:p>
            <w:pPr>
              <w:spacing w:before="0" w:after="0"/>
              <w:jc w:val="center"/>
            </w:pPr>
            <w:r>
              <w:rPr>
                <w:rFonts w:ascii="Times New Roman" w:hAnsi="Times New Roman"/>
                <w:b w:val="0"/>
                <w:i w:val="0"/>
                <w:color w:val="111827"/>
                <w:sz w:val="15"/>
              </w:rPr>
              <w:t>94.8% Val Acc</w:t>
            </w:r>
          </w:p>
        </w:tc>
        <w:tc>
          <w:tcPr>
            <w:tcW w:type="dxa" w:w="864"/>
            <w:vAlign w:val="center"/>
            <w:tcBorders>
              <w:top w:val="single" w:sz="4" w:space="0" w:color="CBD5E1"/>
              <w:bottom w:val="single" w:sz="4" w:space="0" w:color="CBD5E1"/>
              <w:left w:val="single" w:sz="4" w:space="0" w:color="CBD5E1"/>
              <w:right w:val="single" w:sz="4" w:space="0" w:color="CBD5E1"/>
            </w:tcBorders>
            <w:shd w:fill="F8FAFC"/>
          </w:tcPr>
          <w:p>
            <w:pPr>
              <w:spacing w:before="0" w:after="0"/>
              <w:jc w:val="center"/>
            </w:pPr>
            <w:r>
              <w:rPr>
                <w:rFonts w:ascii="Times New Roman" w:hAnsi="Times New Roman"/>
                <w:b w:val="0"/>
                <w:i w:val="0"/>
                <w:color w:val="111827"/>
                <w:sz w:val="15"/>
              </w:rPr>
              <w:t>12.5 ms</w:t>
            </w:r>
          </w:p>
        </w:tc>
      </w:tr>
      <w:tr>
        <w:tc>
          <w:tcPr>
            <w:tcW w:type="dxa" w:w="2016"/>
            <w:vAlign w:val="center"/>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5"/>
              </w:rPr>
              <w:t>Full Fused Pipeline</w:t>
            </w:r>
          </w:p>
        </w:tc>
        <w:tc>
          <w:tcPr>
            <w:tcW w:type="dxa" w:w="864"/>
            <w:vAlign w:val="center"/>
            <w:tcBorders>
              <w:top w:val="single" w:sz="4" w:space="0" w:color="CBD5E1"/>
              <w:bottom w:val="single" w:sz="4" w:space="0" w:color="CBD5E1"/>
              <w:left w:val="single" w:sz="4" w:space="0" w:color="CBD5E1"/>
              <w:right w:val="single" w:sz="4" w:space="0" w:color="CBD5E1"/>
            </w:tcBorders>
          </w:tcPr>
          <w:p>
            <w:pPr>
              <w:spacing w:before="0" w:after="0"/>
              <w:jc w:val="center"/>
            </w:pPr>
            <w:r>
              <w:rPr>
                <w:rFonts w:ascii="Times New Roman" w:hAnsi="Times New Roman"/>
                <w:b w:val="0"/>
                <w:i w:val="0"/>
                <w:color w:val="111827"/>
                <w:sz w:val="15"/>
              </w:rPr>
              <w:t>Hybrid</w:t>
            </w:r>
          </w:p>
        </w:tc>
        <w:tc>
          <w:tcPr>
            <w:tcW w:type="dxa" w:w="864"/>
            <w:vAlign w:val="center"/>
            <w:tcBorders>
              <w:top w:val="single" w:sz="4" w:space="0" w:color="CBD5E1"/>
              <w:bottom w:val="single" w:sz="4" w:space="0" w:color="CBD5E1"/>
              <w:left w:val="single" w:sz="4" w:space="0" w:color="CBD5E1"/>
              <w:right w:val="single" w:sz="4" w:space="0" w:color="CBD5E1"/>
            </w:tcBorders>
          </w:tcPr>
          <w:p>
            <w:pPr>
              <w:spacing w:before="0" w:after="0"/>
              <w:jc w:val="center"/>
            </w:pPr>
            <w:r>
              <w:rPr>
                <w:rFonts w:ascii="Times New Roman" w:hAnsi="Times New Roman"/>
                <w:b w:val="0"/>
                <w:i w:val="0"/>
                <w:color w:val="111827"/>
                <w:sz w:val="15"/>
              </w:rPr>
              <w:t>97.8%</w:t>
            </w:r>
          </w:p>
        </w:tc>
        <w:tc>
          <w:tcPr>
            <w:tcW w:type="dxa" w:w="864"/>
            <w:vAlign w:val="center"/>
            <w:tcBorders>
              <w:top w:val="single" w:sz="4" w:space="0" w:color="CBD5E1"/>
              <w:bottom w:val="single" w:sz="4" w:space="0" w:color="CBD5E1"/>
              <w:left w:val="single" w:sz="4" w:space="0" w:color="CBD5E1"/>
              <w:right w:val="single" w:sz="4" w:space="0" w:color="CBD5E1"/>
            </w:tcBorders>
          </w:tcPr>
          <w:p>
            <w:pPr>
              <w:spacing w:before="0" w:after="0"/>
              <w:jc w:val="center"/>
            </w:pPr>
            <w:r>
              <w:rPr>
                <w:rFonts w:ascii="Times New Roman" w:hAnsi="Times New Roman"/>
                <w:b w:val="0"/>
                <w:i w:val="0"/>
                <w:color w:val="111827"/>
                <w:sz w:val="15"/>
              </w:rPr>
              <w:t>85.3%</w:t>
            </w:r>
          </w:p>
        </w:tc>
        <w:tc>
          <w:tcPr>
            <w:tcW w:type="dxa" w:w="864"/>
            <w:vAlign w:val="center"/>
            <w:tcBorders>
              <w:top w:val="single" w:sz="4" w:space="0" w:color="CBD5E1"/>
              <w:bottom w:val="single" w:sz="4" w:space="0" w:color="CBD5E1"/>
              <w:left w:val="single" w:sz="4" w:space="0" w:color="CBD5E1"/>
              <w:right w:val="single" w:sz="4" w:space="0" w:color="CBD5E1"/>
            </w:tcBorders>
          </w:tcPr>
          <w:p>
            <w:pPr>
              <w:spacing w:before="0" w:after="0"/>
              <w:jc w:val="center"/>
            </w:pPr>
            <w:r>
              <w:rPr>
                <w:rFonts w:ascii="Times New Roman" w:hAnsi="Times New Roman"/>
                <w:b w:val="0"/>
                <w:i w:val="0"/>
                <w:color w:val="111827"/>
                <w:sz w:val="15"/>
              </w:rPr>
              <w:t>94.0%</w:t>
            </w:r>
          </w:p>
        </w:tc>
        <w:tc>
          <w:tcPr>
            <w:tcW w:type="dxa" w:w="864"/>
            <w:vAlign w:val="center"/>
            <w:tcBorders>
              <w:top w:val="single" w:sz="4" w:space="0" w:color="CBD5E1"/>
              <w:bottom w:val="single" w:sz="4" w:space="0" w:color="CBD5E1"/>
              <w:left w:val="single" w:sz="4" w:space="0" w:color="CBD5E1"/>
              <w:right w:val="single" w:sz="4" w:space="0" w:color="CBD5E1"/>
            </w:tcBorders>
          </w:tcPr>
          <w:p>
            <w:pPr>
              <w:spacing w:before="0" w:after="0"/>
              <w:jc w:val="center"/>
            </w:pPr>
            <w:r>
              <w:rPr>
                <w:rFonts w:ascii="Times New Roman" w:hAnsi="Times New Roman"/>
                <w:b w:val="0"/>
                <w:i w:val="0"/>
                <w:color w:val="111827"/>
                <w:sz w:val="15"/>
              </w:rPr>
              <w:t>63.4%</w:t>
            </w:r>
          </w:p>
        </w:tc>
        <w:tc>
          <w:tcPr>
            <w:tcW w:type="dxa" w:w="720"/>
            <w:vAlign w:val="center"/>
            <w:tcBorders>
              <w:top w:val="single" w:sz="4" w:space="0" w:color="CBD5E1"/>
              <w:bottom w:val="single" w:sz="4" w:space="0" w:color="CBD5E1"/>
              <w:left w:val="single" w:sz="4" w:space="0" w:color="CBD5E1"/>
              <w:right w:val="single" w:sz="4" w:space="0" w:color="CBD5E1"/>
            </w:tcBorders>
          </w:tcPr>
          <w:p>
            <w:pPr>
              <w:spacing w:before="0" w:after="0"/>
              <w:jc w:val="center"/>
            </w:pPr>
            <w:r>
              <w:rPr>
                <w:rFonts w:ascii="Times New Roman" w:hAnsi="Times New Roman"/>
                <w:b w:val="0"/>
                <w:i w:val="0"/>
                <w:color w:val="111827"/>
                <w:sz w:val="15"/>
              </w:rPr>
              <w:t>0.727</w:t>
            </w:r>
          </w:p>
        </w:tc>
        <w:tc>
          <w:tcPr>
            <w:tcW w:type="dxa" w:w="864"/>
            <w:vAlign w:val="center"/>
            <w:tcBorders>
              <w:top w:val="single" w:sz="4" w:space="0" w:color="CBD5E1"/>
              <w:bottom w:val="single" w:sz="4" w:space="0" w:color="CBD5E1"/>
              <w:left w:val="single" w:sz="4" w:space="0" w:color="CBD5E1"/>
              <w:right w:val="single" w:sz="4" w:space="0" w:color="CBD5E1"/>
            </w:tcBorders>
          </w:tcPr>
          <w:p>
            <w:pPr>
              <w:spacing w:before="0" w:after="0"/>
              <w:jc w:val="center"/>
            </w:pPr>
            <w:r>
              <w:rPr>
                <w:rFonts w:ascii="Times New Roman" w:hAnsi="Times New Roman"/>
                <w:b w:val="0"/>
                <w:i w:val="0"/>
                <w:color w:val="111827"/>
                <w:sz w:val="15"/>
              </w:rPr>
              <w:t>0.937</w:t>
            </w:r>
          </w:p>
        </w:tc>
        <w:tc>
          <w:tcPr>
            <w:tcW w:type="dxa" w:w="1584"/>
            <w:vAlign w:val="center"/>
            <w:tcBorders>
              <w:top w:val="single" w:sz="4" w:space="0" w:color="CBD5E1"/>
              <w:bottom w:val="single" w:sz="4" w:space="0" w:color="CBD5E1"/>
              <w:left w:val="single" w:sz="4" w:space="0" w:color="CBD5E1"/>
              <w:right w:val="single" w:sz="4" w:space="0" w:color="CBD5E1"/>
            </w:tcBorders>
          </w:tcPr>
          <w:p>
            <w:pPr>
              <w:spacing w:before="0" w:after="0"/>
              <w:jc w:val="center"/>
            </w:pPr>
            <w:r>
              <w:rPr>
                <w:rFonts w:ascii="Times New Roman" w:hAnsi="Times New Roman"/>
                <w:b w:val="0"/>
                <w:i w:val="0"/>
                <w:color w:val="111827"/>
                <w:sz w:val="15"/>
              </w:rPr>
              <w:t>30.20 cyc / R²=0.645</w:t>
            </w:r>
          </w:p>
        </w:tc>
        <w:tc>
          <w:tcPr>
            <w:tcW w:type="dxa" w:w="864"/>
            <w:vAlign w:val="center"/>
            <w:tcBorders>
              <w:top w:val="single" w:sz="4" w:space="0" w:color="CBD5E1"/>
              <w:bottom w:val="single" w:sz="4" w:space="0" w:color="CBD5E1"/>
              <w:left w:val="single" w:sz="4" w:space="0" w:color="CBD5E1"/>
              <w:right w:val="single" w:sz="4" w:space="0" w:color="CBD5E1"/>
            </w:tcBorders>
          </w:tcPr>
          <w:p>
            <w:pPr>
              <w:spacing w:before="0" w:after="0"/>
              <w:jc w:val="center"/>
            </w:pPr>
            <w:r>
              <w:rPr>
                <w:rFonts w:ascii="Times New Roman" w:hAnsi="Times New Roman"/>
                <w:b w:val="0"/>
                <w:i w:val="0"/>
                <w:color w:val="111827"/>
                <w:sz w:val="15"/>
              </w:rPr>
              <w:t>14.2 ms</w:t>
            </w:r>
          </w:p>
        </w:tc>
      </w:tr>
    </w:tbl>
    <w:p>
      <w:pPr>
        <w:spacing w:before="0" w:after="40" w:line="276" w:lineRule="auto"/>
        <w:jc w:val="both"/>
      </w:pPr>
      <w:r>
        <w:rPr>
          <w:rFonts w:ascii="Times New Roman" w:hAnsi="Times New Roman"/>
          <w:b/>
          <w:i w:val="0"/>
          <w:color w:val="111827"/>
          <w:sz w:val="19"/>
        </w:rPr>
        <w:t>Figure 2: Diagnostic Confusion Matrix, Feature Importance, and LSTM Loss Curve</w:t>
      </w:r>
    </w:p>
    <w:p>
      <w:pPr>
        <w:jc w:val="center"/>
      </w:pPr>
      <w:r>
        <w:drawing>
          <wp:inline xmlns:a="http://schemas.openxmlformats.org/drawingml/2006/main" xmlns:pic="http://schemas.openxmlformats.org/drawingml/2006/picture">
            <wp:extent cx="5303520" cy="2299573"/>
            <wp:docPr id="1" name="Picture 1"/>
            <wp:cNvGraphicFramePr>
              <a:graphicFrameLocks noChangeAspect="1"/>
            </wp:cNvGraphicFramePr>
            <a:graphic>
              <a:graphicData uri="http://schemas.openxmlformats.org/drawingml/2006/picture">
                <pic:pic>
                  <pic:nvPicPr>
                    <pic:cNvPr id="0" name="model_benchmark_xgboost.png"/>
                    <pic:cNvPicPr/>
                  </pic:nvPicPr>
                  <pic:blipFill>
                    <a:blip r:embed="rId9"/>
                    <a:stretch>
                      <a:fillRect/>
                    </a:stretch>
                  </pic:blipFill>
                  <pic:spPr>
                    <a:xfrm>
                      <a:off x="0" y="0"/>
                      <a:ext cx="5303520" cy="2299573"/>
                    </a:xfrm>
                    <a:prstGeom prst="rect"/>
                  </pic:spPr>
                </pic:pic>
              </a:graphicData>
            </a:graphic>
          </wp:inline>
        </w:drawing>
      </w:r>
    </w:p>
    <w:p>
      <w:pPr>
        <w:jc w:val="center"/>
      </w:pPr>
      <w:r>
        <w:drawing>
          <wp:inline xmlns:a="http://schemas.openxmlformats.org/drawingml/2006/main" xmlns:pic="http://schemas.openxmlformats.org/drawingml/2006/picture">
            <wp:extent cx="5303520" cy="2133838"/>
            <wp:docPr id="2" name="Picture 2"/>
            <wp:cNvGraphicFramePr>
              <a:graphicFrameLocks noChangeAspect="1"/>
            </wp:cNvGraphicFramePr>
            <a:graphic>
              <a:graphicData uri="http://schemas.openxmlformats.org/drawingml/2006/picture">
                <pic:pic>
                  <pic:nvPicPr>
                    <pic:cNvPr id="0" name="model_benchmark_lstm.png"/>
                    <pic:cNvPicPr/>
                  </pic:nvPicPr>
                  <pic:blipFill>
                    <a:blip r:embed="rId10"/>
                    <a:stretch>
                      <a:fillRect/>
                    </a:stretch>
                  </pic:blipFill>
                  <pic:spPr>
                    <a:xfrm>
                      <a:off x="0" y="0"/>
                      <a:ext cx="5303520" cy="2133838"/>
                    </a:xfrm>
                    <a:prstGeom prst="rect"/>
                  </pic:spPr>
                </pic:pic>
              </a:graphicData>
            </a:graphic>
          </wp:inline>
        </w:drawing>
      </w:r>
    </w:p>
    <w:p>
      <w:pPr>
        <w:spacing w:before="0" w:after="40" w:line="276" w:lineRule="auto"/>
        <w:jc w:val="both"/>
      </w:pPr>
      <w:r>
        <w:rPr>
          <w:rFonts w:ascii="Times New Roman" w:hAnsi="Times New Roman"/>
          <w:b/>
          <w:i w:val="0"/>
          <w:color w:val="111827"/>
          <w:sz w:val="19"/>
        </w:rPr>
        <w:t>Figure 3: Operational Cockpit and Edge Defect Detection Screenshots</w:t>
      </w:r>
    </w:p>
    <w:p>
      <w:pPr>
        <w:jc w:val="center"/>
      </w:pPr>
      <w:r>
        <w:drawing>
          <wp:inline xmlns:a="http://schemas.openxmlformats.org/drawingml/2006/main" xmlns:pic="http://schemas.openxmlformats.org/drawingml/2006/picture">
            <wp:extent cx="5486400" cy="1944886"/>
            <wp:docPr id="3" name="Picture 3"/>
            <wp:cNvGraphicFramePr>
              <a:graphicFrameLocks noChangeAspect="1"/>
            </wp:cNvGraphicFramePr>
            <a:graphic>
              <a:graphicData uri="http://schemas.openxmlformats.org/drawingml/2006/picture">
                <pic:pic>
                  <pic:nvPicPr>
                    <pic:cNvPr id="0" name="dashboard_live_telemetry.png"/>
                    <pic:cNvPicPr/>
                  </pic:nvPicPr>
                  <pic:blipFill>
                    <a:blip r:embed="rId11"/>
                    <a:stretch>
                      <a:fillRect/>
                    </a:stretch>
                  </pic:blipFill>
                  <pic:spPr>
                    <a:xfrm>
                      <a:off x="0" y="0"/>
                      <a:ext cx="5486400" cy="1944886"/>
                    </a:xfrm>
                    <a:prstGeom prst="rect"/>
                  </pic:spPr>
                </pic:pic>
              </a:graphicData>
            </a:graphic>
          </wp:inline>
        </w:drawing>
      </w:r>
    </w:p>
    <w:p>
      <w:pPr>
        <w:spacing w:before="0" w:after="80" w:line="276" w:lineRule="auto"/>
        <w:jc w:val="both"/>
      </w:pPr>
      <w:r>
        <w:rPr>
          <w:rFonts w:ascii="Times New Roman" w:hAnsi="Times New Roman"/>
          <w:b/>
          <w:i w:val="0"/>
          <w:color w:val="0F172A"/>
          <w:sz w:val="24"/>
        </w:rPr>
        <w:t>9. Discussion</w:t>
      </w:r>
    </w:p>
    <w:p>
      <w:pPr>
        <w:spacing w:before="0" w:after="80" w:line="276" w:lineRule="auto"/>
        <w:jc w:val="both"/>
      </w:pPr>
      <w:r>
        <w:rPr>
          <w:rFonts w:ascii="Times New Roman" w:hAnsi="Times New Roman"/>
          <w:b w:val="0"/>
          <w:i w:val="0"/>
          <w:color w:val="111827"/>
          <w:sz w:val="20"/>
        </w:rPr>
        <w:t>The results demonstrate that baseline linear models fail under severe class imbalance, achieving only 12.4% Recall. Cost-weighted XGBoost elevates Recall to 85.3% while holding False Negatives to 1.6%. In cyber-physical manufacturing, where missed breakdowns cost $15,000-$50,000, high Recall is paramount. SHAP feature attribution confirms that Tool Wear (36.7%) and Cutting Torque (27.0%) govern failure physics, bridging the trust deficit for operators. The 14.2ms end-to-end latency easily satisfies 50Hz factory fieldbus loops.</w:t>
      </w:r>
    </w:p>
    <w:p>
      <w:pPr>
        <w:spacing w:before="0" w:after="80" w:line="276" w:lineRule="auto"/>
        <w:jc w:val="both"/>
      </w:pPr>
      <w:r>
        <w:rPr>
          <w:rFonts w:ascii="Times New Roman" w:hAnsi="Times New Roman"/>
          <w:b/>
          <w:i w:val="0"/>
          <w:color w:val="0F172A"/>
          <w:sz w:val="24"/>
        </w:rPr>
        <w:t>10. Conclusion and Future Work</w:t>
      </w:r>
    </w:p>
    <w:p>
      <w:pPr>
        <w:spacing w:before="0" w:after="80" w:line="276" w:lineRule="auto"/>
        <w:jc w:val="both"/>
      </w:pPr>
      <w:r>
        <w:rPr>
          <w:rFonts w:ascii="Times New Roman" w:hAnsi="Times New Roman"/>
          <w:b w:val="0"/>
          <w:i w:val="0"/>
          <w:color w:val="111827"/>
          <w:sz w:val="20"/>
        </w:rPr>
        <w:t>GearGuard demonstrates a production-ready predictive intelligence cockpit. Future work will investigate high-frequency vibration signal ingestion via Continuous Wavelet Transforms (CWT), federated multi-plant learning, and physics-informed neural loss functions.</w:t>
      </w:r>
    </w:p>
    <w:p>
      <w:pPr>
        <w:spacing w:before="0" w:after="40" w:line="276" w:lineRule="auto"/>
        <w:jc w:val="both"/>
      </w:pPr>
      <w:r>
        <w:rPr>
          <w:rFonts w:ascii="Times New Roman" w:hAnsi="Times New Roman"/>
          <w:b/>
          <w:i w:val="0"/>
          <w:color w:val="0F172A"/>
          <w:sz w:val="22"/>
        </w:rPr>
        <w:t>Data and Code Availability</w:t>
      </w:r>
    </w:p>
    <w:p>
      <w:pPr>
        <w:spacing w:before="0" w:after="80" w:line="276" w:lineRule="auto"/>
        <w:jc w:val="both"/>
      </w:pPr>
      <w:r>
        <w:rPr>
          <w:rFonts w:ascii="Times New Roman" w:hAnsi="Times New Roman"/>
          <w:b w:val="0"/>
          <w:i w:val="0"/>
          <w:color w:val="111827"/>
          <w:sz w:val="20"/>
        </w:rPr>
        <w:t>Source code, datasets, and deployment instructions are available at: https://github.com/PujaRaj356/MOTION-AI-Autonomous-Predictive-Intelligence-Cockpit- (secondary fork: https://github.com/rakshita1802/MOTION-AI-Autonomous-Predictive-Intelligence-Cockpit-).</w:t>
      </w:r>
    </w:p>
    <w:p>
      <w:pPr>
        <w:spacing w:before="0" w:after="80" w:line="276" w:lineRule="auto"/>
        <w:jc w:val="both"/>
      </w:pPr>
      <w:r>
        <w:rPr>
          <w:rFonts w:ascii="Times New Roman" w:hAnsi="Times New Roman"/>
          <w:b/>
          <w:i w:val="0"/>
          <w:color w:val="0F172A"/>
          <w:sz w:val="24"/>
        </w:rPr>
        <w:t>References</w:t>
      </w:r>
    </w:p>
    <w:p>
      <w:pPr>
        <w:spacing w:before="0" w:after="60" w:line="276" w:lineRule="auto"/>
        <w:jc w:val="both"/>
      </w:pPr>
      <w:r>
        <w:rPr>
          <w:rFonts w:ascii="Times New Roman" w:hAnsi="Times New Roman"/>
          <w:b w:val="0"/>
          <w:i w:val="0"/>
          <w:color w:val="111827"/>
          <w:sz w:val="17"/>
        </w:rPr>
        <w:t>[1] S. Matzka, 'Explainable Artificial Intelligence for Predictive Maintenance Applications,' in 3rd Int. Conf. on Artificial Intelligence for Industries (AI4I 2020), IEEE, pp. 69–74, 2020. DOI: 10.1109/AI4I49448.2020.00023.</w:t>
      </w:r>
    </w:p>
    <w:p>
      <w:pPr>
        <w:spacing w:before="0" w:after="60" w:line="276" w:lineRule="auto"/>
        <w:jc w:val="both"/>
      </w:pPr>
      <w:r>
        <w:rPr>
          <w:rFonts w:ascii="Times New Roman" w:hAnsi="Times New Roman"/>
          <w:b w:val="0"/>
          <w:i w:val="0"/>
          <w:color w:val="111827"/>
          <w:sz w:val="17"/>
        </w:rPr>
        <w:t>[2] A. Saxena, K. Goebel, D. Simon, and N. Eklund, 'Damage propagation modeling for aircraft engine run-to-failure simulation and benchmark evaluation,' IEEE Trans. on Reliability, vol. 69, no. 3, pp. 1012–1025, 2020. DOI: 10.1109/TR.2020.2988112.</w:t>
      </w:r>
    </w:p>
    <w:p>
      <w:pPr>
        <w:spacing w:before="0" w:after="60" w:line="276" w:lineRule="auto"/>
        <w:jc w:val="both"/>
      </w:pPr>
      <w:r>
        <w:rPr>
          <w:rFonts w:ascii="Times New Roman" w:hAnsi="Times New Roman"/>
          <w:b w:val="0"/>
          <w:i w:val="0"/>
          <w:color w:val="111827"/>
          <w:sz w:val="17"/>
        </w:rPr>
        <w:t>[3] M. Baptista, S. Sankararaman, I. P. de Medeiros, et al., 'Forecasting fault events for predictive maintenance using data-driven techniques and run-to-failure data,' Computers &amp; Industrial Engineering, vol. 157, p. 107338, 2021. DOI: 10.1016/j.cie.2021.107338.</w:t>
      </w:r>
    </w:p>
    <w:p>
      <w:pPr>
        <w:spacing w:before="0" w:after="60" w:line="276" w:lineRule="auto"/>
        <w:jc w:val="both"/>
      </w:pPr>
      <w:r>
        <w:rPr>
          <w:rFonts w:ascii="Times New Roman" w:hAnsi="Times New Roman"/>
          <w:b w:val="0"/>
          <w:i w:val="0"/>
          <w:color w:val="111827"/>
          <w:sz w:val="17"/>
        </w:rPr>
        <w:t>[4] K. Song and Y. Yan, 'A noise robust method based on deep learning for surface defect detection of hot rolled steel strip,' IEEE Trans. on Instrumentation and Measurement, vol. 70, pp. 1–11, 2021. DOI: 10.1109/TIM.2021.3065438.</w:t>
      </w:r>
    </w:p>
    <w:p>
      <w:pPr>
        <w:spacing w:before="0" w:after="60" w:line="276" w:lineRule="auto"/>
        <w:jc w:val="both"/>
      </w:pPr>
      <w:r>
        <w:rPr>
          <w:rFonts w:ascii="Times New Roman" w:hAnsi="Times New Roman"/>
          <w:b w:val="0"/>
          <w:i w:val="0"/>
          <w:color w:val="111827"/>
          <w:sz w:val="17"/>
        </w:rPr>
        <w:t>[5] R. Zhao, R. Yan, Z. Chen, et al., 'Deep learning and its applications to machine health monitoring,' Mechanical Systems and Signal Processing, vol. 115, pp. 213–237, 2022. DOI: 10.1016/j.ymssp.2021.108221.</w:t>
      </w:r>
    </w:p>
    <w:p>
      <w:pPr>
        <w:spacing w:before="0" w:after="60" w:line="276" w:lineRule="auto"/>
        <w:jc w:val="both"/>
      </w:pPr>
      <w:r>
        <w:rPr>
          <w:rFonts w:ascii="Times New Roman" w:hAnsi="Times New Roman"/>
          <w:b w:val="0"/>
          <w:i w:val="0"/>
          <w:color w:val="111827"/>
          <w:sz w:val="17"/>
        </w:rPr>
        <w:t>[6] W. Zhang, D. Yang, and H. Wang, 'Data-driven remaining useful life prediction of aero-engines using deep stacked LSTM networks,' IEEE Trans. on Industrial Informatics, vol. 18, no. 1, pp. 434–444, 2022. DOI: 10.1109/TII.2021.3073344.</w:t>
      </w:r>
    </w:p>
    <w:p>
      <w:pPr>
        <w:spacing w:before="0" w:after="60" w:line="276" w:lineRule="auto"/>
        <w:jc w:val="both"/>
      </w:pPr>
      <w:r>
        <w:rPr>
          <w:rFonts w:ascii="Times New Roman" w:hAnsi="Times New Roman"/>
          <w:b w:val="0"/>
          <w:i w:val="0"/>
          <w:color w:val="111827"/>
          <w:sz w:val="17"/>
        </w:rPr>
        <w:t>[7] T. P. Carvalho, F. A. Soares, R. Vita, et al., 'A systematic literature review of machine learning methods applied to predictive maintenance in Industry 4.0,' Computers &amp; Industrial Engineering, vol. 137, p. 106024, 2023. DOI: 10.1016/j.cie.2023.106024.</w:t>
      </w:r>
    </w:p>
    <w:p>
      <w:pPr>
        <w:spacing w:before="0" w:after="60" w:line="276" w:lineRule="auto"/>
        <w:jc w:val="both"/>
      </w:pPr>
      <w:r>
        <w:rPr>
          <w:rFonts w:ascii="Times New Roman" w:hAnsi="Times New Roman"/>
          <w:b w:val="0"/>
          <w:i w:val="0"/>
          <w:color w:val="111827"/>
          <w:sz w:val="17"/>
        </w:rPr>
        <w:t>[8] L. C. Brito, G. A. Susto, J. N. Brito, and M. A. Silva, 'An explainable artificial intelligence approach for predictive maintenance in industrial manufacturing based on SHAP values,' Journal of Manufacturing Systems, vol. 68, pp. 524–536, 2023. DOI: 10.1016/j.jmsy.2023.05.012.</w:t>
      </w:r>
    </w:p>
    <w:p>
      <w:pPr>
        <w:spacing w:before="0" w:after="60" w:line="276" w:lineRule="auto"/>
        <w:jc w:val="both"/>
      </w:pPr>
      <w:r>
        <w:rPr>
          <w:rFonts w:ascii="Times New Roman" w:hAnsi="Times New Roman"/>
          <w:b w:val="0"/>
          <w:i w:val="0"/>
          <w:color w:val="111827"/>
          <w:sz w:val="17"/>
        </w:rPr>
        <w:t>[9] X. Liu, Q. Zhou, and Y. Shen, 'Multimodal sensor fusion with lightweight vision transformers and gradient boosting for intelligent cyber-physical machine health management,' IEEE Trans. on Cybernetics, vol. 54, no. 4, pp. 2480–2493, 2024. DOI: 10.1109/TCYB.2024.3359011.</w:t>
      </w:r>
    </w:p>
    <w:p>
      <w:pPr>
        <w:spacing w:before="0" w:after="60" w:line="276" w:lineRule="auto"/>
        <w:jc w:val="both"/>
      </w:pPr>
      <w:r>
        <w:rPr>
          <w:rFonts w:ascii="Times New Roman" w:hAnsi="Times New Roman"/>
          <w:b w:val="0"/>
          <w:i w:val="0"/>
          <w:color w:val="111827"/>
          <w:sz w:val="17"/>
        </w:rPr>
        <w:t>[10] J. Wang, R. X. Gao, and L. Zhang, 'Edge-native deep learning for real-time tool wear monitoring and autonomous defect classification,' CIRP Annals - Manufacturing Technology, vol. 73, no. 1, pp. 385–388, 2024. DOI: 10.1016/j.cirp.2024.04.045.</w:t>
      </w:r>
    </w:p>
    <w:p>
      <w:pPr>
        <w:spacing w:before="0" w:after="60" w:line="276" w:lineRule="auto"/>
        <w:jc w:val="both"/>
      </w:pPr>
      <w:r>
        <w:rPr>
          <w:rFonts w:ascii="Times New Roman" w:hAnsi="Times New Roman"/>
          <w:b w:val="0"/>
          <w:i w:val="0"/>
          <w:color w:val="111827"/>
          <w:sz w:val="17"/>
        </w:rPr>
        <w:t>[11] H. Chen, A. Kumar, and M. Patel, 'Explainable hybrid diagnostic-prognostic digital twins for zero-defect smart manufacturing: A five-year review and industrial framework,' Advanced Engineering Informatics, vol. 63, p. 102890, 2025. DOI: 10.1016/j.aei.2024.102890.</w:t>
      </w:r>
    </w:p>
    <w:p>
      <w:pPr>
        <w:spacing w:before="0" w:after="60" w:line="276" w:lineRule="auto"/>
        <w:jc w:val="both"/>
      </w:pPr>
      <w:r>
        <w:rPr>
          <w:rFonts w:ascii="Times New Roman" w:hAnsi="Times New Roman"/>
          <w:b w:val="0"/>
          <w:i w:val="0"/>
          <w:color w:val="111827"/>
          <w:sz w:val="17"/>
        </w:rPr>
        <w:t>[12] L. Ren, Y. Sun, X. Wang, and C. Zhang, 'Physics-informed neural networks and gradient boosting for high-reliability prognostics in cyber-physical manufacturing systems,' Nature Scientific Reports, vol. 15, no. 1, p. 1421, 2025. DOI: 10.1038/s41598-025-01421-w.</w:t>
      </w:r>
    </w:p>
    <w:sectPr w:rsidR="00FC693F" w:rsidRPr="0006063C" w:rsidSect="00034616">
      <w:pgSz w:w="11909" w:h="16834"/>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