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0F172A"/>
          <w:sz w:val="30"/>
        </w:rPr>
        <w:t>GearGuard: A Hybrid Diagnostic-Prognostic Multimodal Machine Learning Framework for Autonomous Industrial Failure Prevention and Real-Time RUL Estimation</w:t>
      </w:r>
    </w:p>
    <w:p>
      <w:pPr>
        <w:spacing w:before="0" w:after="240" w:line="276" w:lineRule="auto"/>
        <w:jc w:val="center"/>
      </w:pPr>
      <w:r>
        <w:rPr>
          <w:rFonts w:ascii="Times New Roman" w:hAnsi="Times New Roman"/>
          <w:b w:val="0"/>
          <w:i/>
          <w:color w:val="334155"/>
          <w:sz w:val="18"/>
        </w:rPr>
        <w:t>Course Code: 20MSS54-ML — Assessment-II: ML/DL Research Article Writing</w:t>
        <w:br/>
        <w:t>Authors: Puja R (Roll No. 2403717672622039) and Rakshita N (Roll No. 2403717672622040)</w:t>
        <w:br/>
        <w:t>Department of Software Systems, Coimbatore Institute of Technology, Coimbatore, Tamil Nadu, India</w:t>
        <w:br/>
        <w:t>Academic Year: 2025 – 2026</w:t>
      </w:r>
    </w:p>
    <w:p>
      <w:pPr>
        <w:spacing w:before="0" w:after="80" w:line="276" w:lineRule="auto"/>
        <w:jc w:val="both"/>
      </w:pPr>
      <w:r>
        <w:rPr>
          <w:rFonts w:ascii="Times New Roman" w:hAnsi="Times New Roman"/>
          <w:b w:val="0"/>
          <w:i w:val="0"/>
          <w:color w:val="111827"/>
          <w:sz w:val="19"/>
        </w:rPr>
        <w:t>Course Code: 20MSS54-ML — Assessment-II: ML/DL Research Article Writing</w:t>
      </w:r>
    </w:p>
    <w:p>
      <w:pPr>
        <w:spacing w:before="0" w:after="80" w:line="276" w:lineRule="auto"/>
        <w:jc w:val="both"/>
      </w:pPr>
      <w:r>
        <w:rPr>
          <w:rFonts w:ascii="Times New Roman" w:hAnsi="Times New Roman"/>
          <w:b w:val="0"/>
          <w:i w:val="0"/>
          <w:color w:val="111827"/>
          <w:sz w:val="19"/>
        </w:rPr>
        <w:t>Authors: Puja R (Roll No. 2403717672622039) and Rakshita N (Roll No. 2403717672622040)</w:t>
      </w:r>
    </w:p>
    <w:p>
      <w:pPr>
        <w:spacing w:before="0" w:after="80" w:line="276" w:lineRule="auto"/>
        <w:jc w:val="both"/>
      </w:pPr>
      <w:r>
        <w:rPr>
          <w:rFonts w:ascii="Times New Roman" w:hAnsi="Times New Roman"/>
          <w:b w:val="0"/>
          <w:i w:val="0"/>
          <w:color w:val="111827"/>
          <w:sz w:val="19"/>
        </w:rPr>
        <w:t>Affiliation: Department of Software Systems, Coimbatore Institute of Technology, Coimbatore, Tamil Nadu, India</w:t>
      </w:r>
    </w:p>
    <w:p>
      <w:pPr>
        <w:spacing w:before="0" w:after="80" w:line="276" w:lineRule="auto"/>
        <w:jc w:val="both"/>
      </w:pPr>
      <w:r>
        <w:rPr>
          <w:rFonts w:ascii="Times New Roman" w:hAnsi="Times New Roman"/>
          <w:b w:val="0"/>
          <w:i w:val="0"/>
          <w:color w:val="111827"/>
          <w:sz w:val="19"/>
        </w:rPr>
        <w:t>Academic Year: 2025 – 2026</w:t>
      </w:r>
    </w:p>
    <w:p>
      <w:pPr>
        <w:spacing w:before="0" w:after="40" w:line="276" w:lineRule="auto"/>
        <w:jc w:val="left"/>
      </w:pPr>
      <w:r>
        <w:rPr>
          <w:rFonts w:ascii="Times New Roman" w:hAnsi="Times New Roman"/>
          <w:b/>
          <w:i w:val="0"/>
          <w:color w:val="0F172A"/>
          <w:sz w:val="22"/>
        </w:rPr>
        <w:t>ABSTRACT</w:t>
      </w:r>
    </w:p>
    <w:p>
      <w:pPr>
        <w:spacing w:before="0" w:after="80" w:line="276" w:lineRule="auto"/>
        <w:jc w:val="both"/>
      </w:pPr>
      <w:r>
        <w:rPr>
          <w:rFonts w:ascii="Times New Roman" w:hAnsi="Times New Roman"/>
          <w:b w:val="0"/>
          <w:i w:val="0"/>
          <w:color w:val="111827"/>
          <w:sz w:val="19"/>
        </w:rPr>
        <w:t>Factory equipment breaks down. It happens every day on shop floors, and when it does, production stalls while repair bills mount rapidly. Most manufacturing facilities still rely on two deeply flawed habits: either running machines until parts physically snap, or discarding components on fixed calendar intervals whether they are worn out or not. The first habit causes costly collateral damage to nearby spindles. The second habit throws away functional parts that still retain over 70% of their useful life. In this project, we built GearGuard to replace that guesswork with reliable, data-backed foresight. Our system handles three distinct jobs at once: catching sudden mechanical breakdown risks from sensor streams, estimating how many operating cycles an aging machine has left before failure (Remaining Useful Life), and scanning camera feeds for visible issues like torn conveyor belts or leaking hydraulic oil lines. We evaluated our models on three benchmark datasets, led by the 10,000-record UCI AI4I 2020 CNC milling dataset. One immediate real-world challenge was severe data imbalance. Out of 10,000 machining runs, only 339 were actual breakdowns—a mere 3.39% of the data. Training a baseline Logistic Regression model gave a deceptive 96.6% accuracy on paper, but it missed 87.6% of real breakdowns, scoring a dismal 12.4% Recall. In a factory, letting nearly nine out of ten machine failures slip past defeats the whole point of monitoring. We tackled this by configuring Extreme Gradient Boosting (XGBoost) with a cost-sensitive penalty parameter (scale_pos_weight = 27.5) to penalize missed breakdowns heavily during tree construction. This raised failure Recall to 85.3%, held overall accuracy at 97.8%, and yielded an ROC-AUC of 0.937, keeping missed failures down to just 1.6%. For long-term wear tracking, we implemented a Stacked LSTM network (64 and 32 units) over 20-step sliding sequences on NASA C-MAPSS turbomachinery data, reaching a Mean Absolute Error of 30.20 operating cycles and an $R^2$ of 0.645. For visible hardware flaws that sensors miss, MobileNet-V3 Small achieved 94.8% accuracy classifying conveyor belt tears and hydraulic leaks. Finally, we added SHAP TreeExplainer so technicians can see exact root-cause drivers behind every alert—showing Tool Wear (36.7%) and Spindle Torque (27.0%) as the primary culprits. The full pipeline runs in 14.2 milliseconds and connects to an interactive web dashboard streaming live shop-floor telemetry every 3.5 seconds.</w:t>
      </w:r>
    </w:p>
    <w:p>
      <w:pPr>
        <w:spacing w:before="0" w:after="80" w:line="276" w:lineRule="auto"/>
        <w:jc w:val="both"/>
      </w:pPr>
      <w:r>
        <w:rPr>
          <w:rFonts w:ascii="Times New Roman" w:hAnsi="Times New Roman"/>
          <w:b w:val="0"/>
          <w:i w:val="0"/>
          <w:color w:val="111827"/>
          <w:sz w:val="19"/>
        </w:rPr>
        <w:t>Keywords: Predictive Maintenance, Industrial AI, Cost-Sensitive XGBoost, Stacked LSTM, Remaining Useful Life, SHAP Explainability, Edge Computer Vision.</w:t>
      </w:r>
    </w:p>
    <w:p>
      <w:pPr>
        <w:spacing w:before="0" w:after="80" w:line="276" w:lineRule="auto"/>
        <w:jc w:val="both"/>
      </w:pPr>
      <w:r>
        <w:rPr>
          <w:rFonts w:ascii="Times New Roman" w:hAnsi="Times New Roman"/>
          <w:b/>
          <w:i w:val="0"/>
          <w:color w:val="0F172A"/>
          <w:sz w:val="24"/>
        </w:rPr>
        <w:t>1. Introduction</w:t>
      </w:r>
    </w:p>
    <w:p>
      <w:pPr>
        <w:spacing w:before="0" w:after="80" w:line="276" w:lineRule="auto"/>
        <w:jc w:val="both"/>
      </w:pPr>
      <w:r>
        <w:rPr>
          <w:rFonts w:ascii="Times New Roman" w:hAnsi="Times New Roman"/>
          <w:b w:val="0"/>
          <w:i w:val="0"/>
          <w:color w:val="111827"/>
          <w:sz w:val="19"/>
        </w:rPr>
        <w:t>Walk onto any modern factory floor and you will see automated CNC milling machines, robotic cells, and high-speed conveyor belts running around the clock [1], [7]. Keeping this hardware running smoothly without sudden stoppages is one of the toughest challenges in industrial engineering. The moment a cutting tool shatters or a spindle bearing overheats, the entire line backs up. Reports from the ARC Advisory Group and the International Society of Automation estimate that unexpected machinery halts drain roughly 50 billion USD out of manufacturing every year, slashing overall plant productivity by anywhere from 5% to 20% [7], [11].</w:t>
      </w:r>
    </w:p>
    <w:p>
      <w:pPr>
        <w:spacing w:before="0" w:after="80" w:line="276" w:lineRule="auto"/>
        <w:jc w:val="both"/>
      </w:pPr>
      <w:r>
        <w:rPr>
          <w:rFonts w:ascii="Times New Roman" w:hAnsi="Times New Roman"/>
          <w:b w:val="0"/>
          <w:i w:val="0"/>
          <w:color w:val="111827"/>
          <w:sz w:val="19"/>
        </w:rPr>
        <w:t>Right now, most plant managers find themselves trapped between two bad choices:</w:t>
      </w:r>
    </w:p>
    <w:p>
      <w:pPr>
        <w:spacing w:before="0" w:after="80" w:line="276" w:lineRule="auto"/>
        <w:jc w:val="both"/>
      </w:pPr>
      <w:r>
        <w:rPr>
          <w:rFonts w:ascii="Times New Roman" w:hAnsi="Times New Roman"/>
          <w:b w:val="0"/>
          <w:i w:val="0"/>
          <w:color w:val="111827"/>
          <w:sz w:val="19"/>
        </w:rPr>
        <w:t>1. Run-to-Failure (Reactive Maintenance): Operators run machines until a part snaps or jams. This extracts every last minute of use out of the component, but it comes at a steep price: broken cutters damage tool holders, emergency overtime adds up, and unexpected downtime throws off customer shipment dates [1], [3].</w:t>
      </w:r>
    </w:p>
    <w:p>
      <w:pPr>
        <w:spacing w:before="0" w:after="80" w:line="276" w:lineRule="auto"/>
        <w:jc w:val="both"/>
      </w:pPr>
      <w:r>
        <w:rPr>
          <w:rFonts w:ascii="Times New Roman" w:hAnsi="Times New Roman"/>
          <w:b w:val="0"/>
          <w:i w:val="0"/>
          <w:color w:val="111827"/>
          <w:sz w:val="19"/>
        </w:rPr>
        <w:t>2. Calendar Overhauls (Preventative Maintenance): Technicians dismantle assemblies and replace parts on fixed calendar dates—say, every 30 days or every 500 operating hours—regardless of the part's actual physical condition. This avoids some catastrophic failures, but industry surveys reveal that over 70% of parts swapped out on schedule still have plenty of usable life left [7], [12].</w:t>
      </w:r>
    </w:p>
    <w:p>
      <w:pPr>
        <w:spacing w:before="0" w:after="80" w:line="276" w:lineRule="auto"/>
        <w:jc w:val="both"/>
      </w:pPr>
      <w:r>
        <w:rPr>
          <w:rFonts w:ascii="Times New Roman" w:hAnsi="Times New Roman"/>
          <w:b w:val="0"/>
          <w:i w:val="0"/>
          <w:color w:val="111827"/>
          <w:sz w:val="19"/>
        </w:rPr>
        <w:t>Predictive Maintenance (PdM) offers a smarter path forward by tracking equipment condition through live sensor feeds and flagging failures before they turn into expensive breakdowns [1], [5]. But making this work on real industrial data is much harder than textbook examples suggest. In our lab experiments, we ran headfirst into four stubborn challenges:</w:t>
      </w:r>
    </w:p>
    <w:p>
      <w:pPr>
        <w:spacing w:before="0" w:after="80" w:line="276" w:lineRule="auto"/>
        <w:jc w:val="both"/>
      </w:pPr>
      <w:r>
        <w:rPr>
          <w:rFonts w:ascii="Times New Roman" w:hAnsi="Times New Roman"/>
          <w:b w:val="0"/>
          <w:i w:val="0"/>
          <w:color w:val="111827"/>
          <w:sz w:val="19"/>
        </w:rPr>
        <w:t>* The Imbalance Trap: Healthy operation accounts for over 96% of logged industrial hours, while catastrophic failures make up a tiny fraction (under 4%). A standard machine learning model trained on this data quickly takes an easy shortcut: it predicts "no failure" on every row. It walks away with a stellar 96% accuracy score, yet fails to catch a single real breakdown when it matters [1], [8].</w:t>
      </w:r>
    </w:p>
    <w:p>
      <w:pPr>
        <w:spacing w:before="0" w:after="80" w:line="276" w:lineRule="auto"/>
        <w:jc w:val="both"/>
      </w:pPr>
      <w:r>
        <w:rPr>
          <w:rFonts w:ascii="Times New Roman" w:hAnsi="Times New Roman"/>
          <w:b w:val="0"/>
          <w:i w:val="0"/>
          <w:color w:val="111827"/>
          <w:sz w:val="19"/>
        </w:rPr>
        <w:t>* Wear Takes Time to Build Up: A single row of sensor readings cannot tell you how fast a motor is heating up or how metal fatigue has accumulated across recent work cycles. Static classifiers that evaluate one timestamp in isolation completely miss the speed of wear [5], [6].</w:t>
      </w:r>
    </w:p>
    <w:p>
      <w:pPr>
        <w:spacing w:before="0" w:after="80" w:line="276" w:lineRule="auto"/>
        <w:jc w:val="both"/>
      </w:pPr>
      <w:r>
        <w:rPr>
          <w:rFonts w:ascii="Times New Roman" w:hAnsi="Times New Roman"/>
          <w:b w:val="0"/>
          <w:i w:val="0"/>
          <w:color w:val="111827"/>
          <w:sz w:val="19"/>
        </w:rPr>
        <w:t>* Sensors Cannot See, and Cameras Cannot Feel: Vibration and temperature sensors are great for tracking motor loads, but they cannot spot a ripped rubber conveyor belt or a cracked hydraulic seal. On the other hand, an optical camera pointed at an enclosed motor housing cannot tell you how much torque the spindle is fighting. Relying on only one sensory channel leaves dangerous blind spots [9], [10].</w:t>
      </w:r>
    </w:p>
    <w:p>
      <w:pPr>
        <w:spacing w:before="0" w:after="80" w:line="276" w:lineRule="auto"/>
        <w:jc w:val="both"/>
      </w:pPr>
      <w:r>
        <w:rPr>
          <w:rFonts w:ascii="Times New Roman" w:hAnsi="Times New Roman"/>
          <w:b w:val="0"/>
          <w:i w:val="0"/>
          <w:color w:val="111827"/>
          <w:sz w:val="19"/>
        </w:rPr>
        <w:t>* The Operator Trust Gap: Plant technicians and machine operators are naturally suspicious of black-box algorithms. If an AI dashboard flashes a warning telling them to shut down a line, but gives zero explanation of what is actually wrong, operators will simply dismiss the alert until smoke starts appearing [1], [8].</w:t>
      </w:r>
    </w:p>
    <w:p>
      <w:pPr>
        <w:spacing w:before="0" w:after="60" w:line="276" w:lineRule="auto"/>
        <w:jc w:val="both"/>
      </w:pPr>
      <w:r>
        <w:rPr>
          <w:rFonts w:ascii="Times New Roman" w:hAnsi="Times New Roman"/>
          <w:b/>
          <w:i w:val="0"/>
          <w:color w:val="1E3A8A"/>
          <w:sz w:val="21"/>
        </w:rPr>
        <w:t>What This Study Delivers</w:t>
      </w:r>
    </w:p>
    <w:p>
      <w:pPr>
        <w:spacing w:before="0" w:after="80" w:line="276" w:lineRule="auto"/>
        <w:jc w:val="both"/>
      </w:pPr>
      <w:r>
        <w:rPr>
          <w:rFonts w:ascii="Times New Roman" w:hAnsi="Times New Roman"/>
          <w:b w:val="0"/>
          <w:i w:val="0"/>
          <w:color w:val="111827"/>
          <w:sz w:val="19"/>
        </w:rPr>
        <w:t>We designed GearGuard to solve these practical factory floor issues. The core contributions of our work are:</w:t>
      </w:r>
    </w:p>
    <w:p>
      <w:pPr>
        <w:spacing w:before="0" w:after="80" w:line="276" w:lineRule="auto"/>
        <w:jc w:val="both"/>
      </w:pPr>
      <w:r>
        <w:rPr>
          <w:rFonts w:ascii="Times New Roman" w:hAnsi="Times New Roman"/>
          <w:b w:val="0"/>
          <w:i w:val="0"/>
          <w:color w:val="111827"/>
          <w:sz w:val="19"/>
        </w:rPr>
        <w:t>1. A Unified Diagnostic and Prognostic Setup: We combined a fast, cost-weighted XGBoost classifier for instant breakdown warnings with a Stacked LSTM neural network for continuous Remaining Useful Life (RUL) forecasting, keeping total inference latency under 15 milliseconds.</w:t>
      </w:r>
    </w:p>
    <w:p>
      <w:pPr>
        <w:spacing w:before="0" w:after="80" w:line="276" w:lineRule="auto"/>
        <w:jc w:val="both"/>
      </w:pPr>
      <w:r>
        <w:rPr>
          <w:rFonts w:ascii="Times New Roman" w:hAnsi="Times New Roman"/>
          <w:b w:val="0"/>
          <w:i w:val="0"/>
          <w:color w:val="111827"/>
          <w:sz w:val="19"/>
        </w:rPr>
        <w:t>2. Handling 3.39% Imbalance Through Cost-Sensitive Loss: By tuning positive class penalty weights (scale_pos_weight = 27.5) inside the XGBoost objective, we boosted breakdown Recall from 12.4% (baseline) to 85.3%, slashing missed failures down to 1.6%.</w:t>
      </w:r>
    </w:p>
    <w:p>
      <w:pPr>
        <w:spacing w:before="0" w:after="80" w:line="276" w:lineRule="auto"/>
        <w:jc w:val="both"/>
      </w:pPr>
      <w:r>
        <w:rPr>
          <w:rFonts w:ascii="Times New Roman" w:hAnsi="Times New Roman"/>
          <w:b w:val="0"/>
          <w:i w:val="0"/>
          <w:color w:val="111827"/>
          <w:sz w:val="19"/>
        </w:rPr>
        <w:t>3. Shop-Floor Visual Defect Screening: We trained a lightweight MobileNet-V3 Small vision model with Sobel edge filtering and dark-patch pooling to spot conveyor belt tears and hydraulic leaks at 94.8% accuracy.</w:t>
      </w:r>
    </w:p>
    <w:p>
      <w:pPr>
        <w:spacing w:before="0" w:after="80" w:line="276" w:lineRule="auto"/>
        <w:jc w:val="both"/>
      </w:pPr>
      <w:r>
        <w:rPr>
          <w:rFonts w:ascii="Times New Roman" w:hAnsi="Times New Roman"/>
          <w:b w:val="0"/>
          <w:i w:val="0"/>
          <w:color w:val="111827"/>
          <w:sz w:val="19"/>
        </w:rPr>
        <w:t>4. Actionable Root Causes in a Live Cockpit: We embedded SHAP TreeExplainer to break down alerts into exact physical feature contributions (proving Tool Wear at 36.7% and Cutting Torque at 27.0% govern machine breakdowns) and connected the entire pipeline to an interactive web dashboard streaming live telemetry every 3.5 seconds.</w:t>
      </w:r>
    </w:p>
    <w:p>
      <w:pPr>
        <w:spacing w:before="0" w:after="60" w:line="276" w:lineRule="auto"/>
        <w:jc w:val="both"/>
      </w:pPr>
      <w:r>
        <w:rPr>
          <w:rFonts w:ascii="Times New Roman" w:hAnsi="Times New Roman"/>
          <w:b/>
          <w:i w:val="0"/>
          <w:color w:val="1E3A8A"/>
          <w:sz w:val="21"/>
        </w:rPr>
        <w:t>Roadmap of the Article</w:t>
      </w:r>
    </w:p>
    <w:p>
      <w:pPr>
        <w:spacing w:before="0" w:after="80" w:line="276" w:lineRule="auto"/>
        <w:jc w:val="both"/>
      </w:pPr>
      <w:r>
        <w:rPr>
          <w:rFonts w:ascii="Times New Roman" w:hAnsi="Times New Roman"/>
          <w:b w:val="0"/>
          <w:i w:val="0"/>
          <w:color w:val="111827"/>
          <w:sz w:val="19"/>
        </w:rPr>
        <w:t>The rest of this paper is organized as follows: Section 2 reviews peer-reviewed literature from 2020 to 2025. Section 3 formalizes our problem definition and research questions. Section 4 describes the industrial datasets and preprocessing pipelines. Section 5 details the GearGuard system architecture and mathematical foundations. Section 6 and Section 7 cover our experimental environment and evaluation metrics. Section 8 presents the quantitative results, confusion matrices, and cockpit screenshots. Section 9 discusses practical trade-offs, operator trust, and error analysis. Section 10 summarizes our findings and outlines next steps.</w:t>
      </w:r>
    </w:p>
    <w:p>
      <w:pPr>
        <w:spacing w:before="0" w:after="80" w:line="276" w:lineRule="auto"/>
        <w:jc w:val="both"/>
      </w:pPr>
      <w:r>
        <w:rPr>
          <w:rFonts w:ascii="Times New Roman" w:hAnsi="Times New Roman"/>
          <w:b/>
          <w:i w:val="0"/>
          <w:color w:val="0F172A"/>
          <w:sz w:val="24"/>
        </w:rPr>
        <w:t>2. Related Work / Literature Review</w:t>
      </w:r>
    </w:p>
    <w:p>
      <w:pPr>
        <w:spacing w:before="0" w:after="80" w:line="276" w:lineRule="auto"/>
        <w:jc w:val="both"/>
      </w:pPr>
      <w:r>
        <w:rPr>
          <w:rFonts w:ascii="Times New Roman" w:hAnsi="Times New Roman"/>
          <w:b w:val="0"/>
          <w:i w:val="0"/>
          <w:color w:val="111827"/>
          <w:sz w:val="19"/>
        </w:rPr>
        <w:t>Predictive maintenance, deep learning prognostics, and industrial computer vision have advanced rapidly over the past five years (2020–2025). We reviewed twelve recent peer-reviewed studies across top manufacturing and artificial intelligence venues to understand where current methods succeed and where they fall short. Table 1 summarizes these key works.</w:t>
      </w:r>
    </w:p>
    <w:p>
      <w:pPr>
        <w:spacing w:before="0" w:after="80" w:line="276" w:lineRule="auto"/>
        <w:jc w:val="both"/>
      </w:pPr>
      <w:r>
        <w:rPr>
          <w:rFonts w:ascii="Times New Roman" w:hAnsi="Times New Roman"/>
          <w:b w:val="0"/>
          <w:i w:val="0"/>
          <w:color w:val="111827"/>
          <w:sz w:val="19"/>
        </w:rPr>
        <w:t>Table 1: Systematic Summary of Related Work in Predictive Maintenance and Industrial AI (2020–2025)</w:t>
      </w:r>
    </w:p>
    <w:tbl>
      <w:tblPr>
        <w:tblW w:type="auto" w:w="0"/>
        <w:jc w:val="center"/>
        <w:tblLook w:firstColumn="1" w:firstRow="1" w:lastColumn="0" w:lastRow="0" w:noHBand="0" w:noVBand="1" w:val="04A0"/>
      </w:tblPr>
      <w:tblGrid>
        <w:gridCol w:w="2045"/>
        <w:gridCol w:w="2045"/>
        <w:gridCol w:w="2045"/>
        <w:gridCol w:w="2045"/>
        <w:gridCol w:w="2045"/>
      </w:tblGrid>
      <w:tr>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Citation &amp; Year</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Primary Methodology</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Evaluated</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Key Findings &amp; Quantitative Result</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Identified Research Gap &amp; Limitations Addressed by GearGuard</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Matzka (2020) [1]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Explainable Machine Learning (Random Forest, TreeSHAP)</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CNC Milling (10,000 records)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Introduced the AI4I benchmark; demonstrated that tree ensembles outperform linear baselines with 96%+ accuracy.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Did not resolve the 3.39% class imbalance via cost-weighting; lacked temporal RUL forecasting and multimodal visual defect detection.</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Saxena et al. (2020) [2]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Physical damage propagation modeling and statistical filters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Turbomachinery (FD001–FD004)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exponential degradation trajectories for aircraft turbofans across operating profiles.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Purely statistical and physics-based; computationally heavy for high-frequency edge execution; no real-time telemetry streaming interface.</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Baptista et al. (2021) [3]</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Autoregressive ML models and Kalman filters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run-to-failure sensory datasets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Demonstrated that multi-sensor feature interaction reduces early prognostic errors by 18%.</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Relies on hand-engineered autoregressive terms; cannot process high-dimensional spatial camera feeds; lacked explainability.</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Song &amp; Yan (2021) [4]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Convolutional Neural Network with noise-robust pooling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NEU Surface Defect Database (1,800 images)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95.2% accuracy on hot-rolled steel strip surface defects under variable lighting.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Restricted purely to optical 2D surface defects; completely blind to internal electrical, thermal, or rotational torque stresses.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Zhao et al. (2022) [5]</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Deep learning survey on machine health monitoring</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Comprehensive multi-benchmark survey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Confirmed that deep recurrent and convolutional architectures consistently outperform hand-crafted statistical features.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Focused on offline academic benchmarks; did not address edge inference constraints, class imbalance, or interactive deployment.</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Zhang, Yang, &amp; Wang (2022) [6]</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Stacked LSTM with temporal attention mechanism</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Turbofan engine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RMSE of 14.8 cycles on long-horizon RUL forecasting; captured multi-channel sensor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 model parameter count requiring GPU acceleration; treats RUL in isolation without instantaneous binary breakdown classification.</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Carvalho et al. (2023) [7]</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Systematic literature review of 120 Industry 4.0 studies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Cross-industry manufacturing surveys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Documented that PdM reduces maintenance costs by 20%–40% and cuts unplanned downtime by up to 50%.</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Noted that over 78% of published academic models are never deployed into production software or operational interfaces.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Brito et al. (2023) [8]</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SHAP explainability framework for industrial manufacturing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Industrial rotating machinery sensor data</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Demonstrated that TreeSHAP local attributions align with mechanical wear physics and build operator trust.</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Evaluated explainability as a post-hoc offline research tool; did not embed live SHAP explanations into real-time operational alerts.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Liu, Zhou, &amp; Shen (2024) [9]</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Lightweight Vision Transformer fused with Gradient Boosted Trees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Multimodal sensory-visual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Proved that fusing optical feeds with numeric sensor channels reduces false positives by 23% in automated assembly lines.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Complex multimodal attention mechanism with high latency (&gt;120ms); not suitable for real-time PLC fieldbus polling loops.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Wang, Gao, &amp; Zhang (2024) [10]</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Edge-native deep learning for real-time tool wear monitoring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High-speed milling tool wear imagery</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Showed that lightweight models running on edge processors can monitor cutting tool chipping in sub-25ms cycles.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Focused exclusively on cutting tool tips; lacked prognostic remaining life regression and wider factory sub-assembly monitoring.</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Chen, Kumar, &amp; Patel (2025) [11]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Hybrid diagnostic-prognostic digital twin framework</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Multi-plant smart manufacturing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Outlined 5-year trends: digital twins require low-latency inference, multi-task learning, and explainable interfaces for zero-defect production.</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Architectural vision without fully accessible open-source code; heavy enterprise infrastructure overhead.</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Ren et al. (2025) [12]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Physics-informed neural networks (PINNs) and gradient boosting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Cyber-physical manufacturing systems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hybrid physics-ML models; demonstrated high reliability on small-sample prognostic domains.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Requires deep domain-specific differential equations for each mechanical component; difficult to generalize across varied shop-floor machines.</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Where Existing Work Falls Short</w:t>
      </w:r>
    </w:p>
    <w:p>
      <w:pPr>
        <w:spacing w:before="0" w:after="80" w:line="276" w:lineRule="auto"/>
        <w:jc w:val="both"/>
      </w:pPr>
      <w:r>
        <w:rPr>
          <w:rFonts w:ascii="Times New Roman" w:hAnsi="Times New Roman"/>
          <w:b w:val="0"/>
          <w:i w:val="0"/>
          <w:color w:val="111827"/>
          <w:sz w:val="19"/>
        </w:rPr>
        <w:t>Comparing these published papers revealed three distinct gaps in current literature:</w:t>
      </w:r>
    </w:p>
    <w:p>
      <w:pPr>
        <w:spacing w:before="0" w:after="80" w:line="276" w:lineRule="auto"/>
        <w:jc w:val="both"/>
      </w:pPr>
      <w:r>
        <w:rPr>
          <w:rFonts w:ascii="Times New Roman" w:hAnsi="Times New Roman"/>
          <w:b w:val="0"/>
          <w:i w:val="0"/>
          <w:color w:val="111827"/>
          <w:sz w:val="19"/>
        </w:rPr>
        <w:t>1. Isolated Tasks: Most researchers build models for one task only. A paper tackles binary classification, another focuses on RUL regression, and a third works on computer vision. On a real shop floor, technicians need all three answers in one screen: *Is the machine about to jam? How long can it run? Are the external belts and pipes damaged?*</w:t>
      </w:r>
    </w:p>
    <w:p>
      <w:pPr>
        <w:spacing w:before="0" w:after="80" w:line="276" w:lineRule="auto"/>
        <w:jc w:val="both"/>
      </w:pPr>
      <w:r>
        <w:rPr>
          <w:rFonts w:ascii="Times New Roman" w:hAnsi="Times New Roman"/>
          <w:b w:val="0"/>
          <w:i w:val="0"/>
          <w:color w:val="111827"/>
          <w:sz w:val="19"/>
        </w:rPr>
        <w:t>2. Ignoring Imbalance in Evaluation: Too many papers report high accuracy without emphasizing that 96% of their test rows are healthy runs. When failures are scarce, overall accuracy is a misleading metric. Practical systems must prioritize failure Recall.</w:t>
      </w:r>
    </w:p>
    <w:p>
      <w:pPr>
        <w:spacing w:before="0" w:after="80" w:line="276" w:lineRule="auto"/>
        <w:jc w:val="both"/>
      </w:pPr>
      <w:r>
        <w:rPr>
          <w:rFonts w:ascii="Times New Roman" w:hAnsi="Times New Roman"/>
          <w:b w:val="0"/>
          <w:i w:val="0"/>
          <w:color w:val="111827"/>
          <w:sz w:val="19"/>
        </w:rPr>
        <w:t>3. The Deployment Disconnect: As Carvalho et al. pointed out [7], over 78% of published models never leave an offline Jupyter notebook. They lack the fast inference speeds, automated maintenance work orders, and intuitive visual dashboards that factory operators need on daily shifts.</w:t>
      </w:r>
    </w:p>
    <w:p>
      <w:pPr>
        <w:spacing w:before="0" w:after="80" w:line="276" w:lineRule="auto"/>
        <w:jc w:val="both"/>
      </w:pPr>
      <w:r>
        <w:rPr>
          <w:rFonts w:ascii="Times New Roman" w:hAnsi="Times New Roman"/>
          <w:b/>
          <w:i w:val="0"/>
          <w:color w:val="0F172A"/>
          <w:sz w:val="24"/>
        </w:rPr>
        <w:t>3. Problem Definition and Objectives</w:t>
      </w:r>
    </w:p>
    <w:p>
      <w:pPr>
        <w:spacing w:before="0" w:after="60" w:line="276" w:lineRule="auto"/>
        <w:jc w:val="both"/>
      </w:pPr>
      <w:r>
        <w:rPr>
          <w:rFonts w:ascii="Times New Roman" w:hAnsi="Times New Roman"/>
          <w:b/>
          <w:i w:val="0"/>
          <w:color w:val="1E3A8A"/>
          <w:sz w:val="21"/>
        </w:rPr>
        <w:t>Problem Formulation</w:t>
      </w:r>
    </w:p>
    <w:p>
      <w:pPr>
        <w:spacing w:before="0" w:after="80" w:line="276" w:lineRule="auto"/>
        <w:jc w:val="both"/>
      </w:pPr>
      <w:r>
        <w:rPr>
          <w:rFonts w:ascii="Times New Roman" w:hAnsi="Times New Roman"/>
          <w:b w:val="0"/>
          <w:i w:val="0"/>
          <w:color w:val="111827"/>
          <w:sz w:val="19"/>
        </w:rPr>
        <w:t>Consider an automated machining cell containing $M$ production machines monitored across discrete operational time steps $t \in \{1, 2, \dots, T\}$. At each time step $t$, the system ingests:</w:t>
      </w:r>
    </w:p>
    <w:p>
      <w:pPr>
        <w:spacing w:before="0" w:after="80" w:line="276" w:lineRule="auto"/>
        <w:jc w:val="both"/>
      </w:pPr>
      <w:r>
        <w:rPr>
          <w:rFonts w:ascii="Times New Roman" w:hAnsi="Times New Roman"/>
          <w:b w:val="0"/>
          <w:i w:val="0"/>
          <w:color w:val="111827"/>
          <w:sz w:val="19"/>
        </w:rPr>
        <w:t>1. A continuous multi-sensor telemetry vector $\mathbf{x}_t \in \mathbb{R}^d$ capturing physical readings: ambient room temperature $T_{\text{air}}$, tool-workpiece interface temperature $T_{\text{process}}$, spindle rotational speed $\omega$, cutting torque $\tau$, cumulative tool cutting time $t_{\text{wear}}$, and machine variant rating $g_{\text{type}}$.</w:t>
      </w:r>
    </w:p>
    <w:p>
      <w:pPr>
        <w:spacing w:before="0" w:after="80" w:line="276" w:lineRule="auto"/>
        <w:jc w:val="both"/>
      </w:pPr>
      <w:r>
        <w:rPr>
          <w:rFonts w:ascii="Times New Roman" w:hAnsi="Times New Roman"/>
          <w:b w:val="0"/>
          <w:i w:val="0"/>
          <w:color w:val="111827"/>
          <w:sz w:val="19"/>
        </w:rPr>
        <w:t>2. A sliding historical window $\mathbf{X}_{t-W:t} = [\mathbf{x}_{t-W+1}, \dots, \mathbf{x}_t]^T \in \mathbb{R}^{W \times C}$ capturing $W$ consecutive time steps across $C$ degradation channels.</w:t>
      </w:r>
    </w:p>
    <w:p>
      <w:pPr>
        <w:spacing w:before="0" w:after="80" w:line="276" w:lineRule="auto"/>
        <w:jc w:val="both"/>
      </w:pPr>
      <w:r>
        <w:rPr>
          <w:rFonts w:ascii="Times New Roman" w:hAnsi="Times New Roman"/>
          <w:b w:val="0"/>
          <w:i w:val="0"/>
          <w:color w:val="111827"/>
          <w:sz w:val="19"/>
        </w:rPr>
        <w:t>3. An optical RGB video frame $\mathbf{I}_t \in \mathbb{R}^{H \times W \times 3}$ taken by a shop-floor camera pointed at external assemblies like conveyor belts and hydraulic lines.</w:t>
      </w:r>
    </w:p>
    <w:p>
      <w:pPr>
        <w:spacing w:before="0" w:after="80" w:line="276" w:lineRule="auto"/>
        <w:jc w:val="both"/>
      </w:pPr>
      <w:r>
        <w:rPr>
          <w:rFonts w:ascii="Times New Roman" w:hAnsi="Times New Roman"/>
          <w:b w:val="0"/>
          <w:i w:val="0"/>
          <w:color w:val="111827"/>
          <w:sz w:val="19"/>
        </w:rPr>
        <w:t>Our objective is to solve three complementary learning tasks simultaneously:</w:t>
      </w:r>
    </w:p>
    <w:p>
      <w:pPr>
        <w:spacing w:before="0" w:after="80" w:line="276" w:lineRule="auto"/>
        <w:jc w:val="both"/>
      </w:pPr>
      <w:r>
        <w:rPr>
          <w:rFonts w:ascii="Times New Roman" w:hAnsi="Times New Roman"/>
          <w:b w:val="0"/>
          <w:i w:val="0"/>
          <w:color w:val="111827"/>
          <w:sz w:val="19"/>
        </w:rPr>
        <w:t>* Task 1: Instantaneous Failure Diagnosis: Predict whether a breakdown is imminent right now, $y_t \in \{0, 1\}$, where $y_t = 1$ indicates failure. We must maximize failure Recall despite the heavy class skew ($P(y=1) \approx 0.034$).</w:t>
      </w:r>
    </w:p>
    <w:p>
      <w:pPr>
        <w:spacing w:before="0" w:after="80" w:line="276" w:lineRule="auto"/>
        <w:jc w:val="both"/>
      </w:pPr>
      <w:r>
        <w:rPr>
          <w:rFonts w:ascii="Times New Roman" w:hAnsi="Times New Roman"/>
          <w:b w:val="0"/>
          <w:i w:val="0"/>
          <w:color w:val="111827"/>
          <w:sz w:val="19"/>
        </w:rPr>
        <w:t>* Task 2: Continuous RUL Prognostics: Estimate how many operating cycles the machine can run before functional failure occurs, $\text{RUL}_t \in \mathbb{R}^+$.</w:t>
      </w:r>
    </w:p>
    <w:p>
      <w:pPr>
        <w:spacing w:before="0" w:after="80" w:line="276" w:lineRule="auto"/>
        <w:jc w:val="both"/>
      </w:pPr>
      <w:r>
        <w:rPr>
          <w:rFonts w:ascii="Times New Roman" w:hAnsi="Times New Roman"/>
          <w:b w:val="0"/>
          <w:i w:val="0"/>
          <w:color w:val="111827"/>
          <w:sz w:val="19"/>
        </w:rPr>
        <w:t>* Task 3: Edge Visual Defect Screening: Detect visible physical flaws (tears, splits, oil leaks) on peripheral shop-floor hardware, while ignoring irrelevant non-industrial objects.</w:t>
      </w:r>
    </w:p>
    <w:p>
      <w:pPr>
        <w:spacing w:before="0" w:after="60" w:line="276" w:lineRule="auto"/>
        <w:jc w:val="both"/>
      </w:pPr>
      <w:r>
        <w:rPr>
          <w:rFonts w:ascii="Times New Roman" w:hAnsi="Times New Roman"/>
          <w:b/>
          <w:i w:val="0"/>
          <w:color w:val="1E3A8A"/>
          <w:sz w:val="21"/>
        </w:rPr>
        <w:t>Stakeholders and Impact</w:t>
      </w:r>
    </w:p>
    <w:p>
      <w:pPr>
        <w:spacing w:before="0" w:after="80" w:line="276" w:lineRule="auto"/>
        <w:jc w:val="both"/>
      </w:pPr>
      <w:r>
        <w:rPr>
          <w:rFonts w:ascii="Times New Roman" w:hAnsi="Times New Roman"/>
          <w:b w:val="0"/>
          <w:i w:val="0"/>
          <w:color w:val="111827"/>
          <w:sz w:val="19"/>
        </w:rPr>
        <w:t>* Machine Operators: Get immediate color-coded alerts and clear recommendations before a tool snaps or destroys an expensive workpiece.</w:t>
      </w:r>
    </w:p>
    <w:p>
      <w:pPr>
        <w:spacing w:before="0" w:after="80" w:line="276" w:lineRule="auto"/>
        <w:jc w:val="both"/>
      </w:pPr>
      <w:r>
        <w:rPr>
          <w:rFonts w:ascii="Times New Roman" w:hAnsi="Times New Roman"/>
          <w:b w:val="0"/>
          <w:i w:val="0"/>
          <w:color w:val="111827"/>
          <w:sz w:val="19"/>
        </w:rPr>
        <w:t>* Reliability Engineers: See exact SHAP root-cause breakdowns (e.g., *"Tool wear friction is driving 52% of this failure alert"*) and cycle-based RUL predictions, allowing them to schedule repairs during planned shift changes.</w:t>
      </w:r>
    </w:p>
    <w:p>
      <w:pPr>
        <w:spacing w:before="0" w:after="80" w:line="276" w:lineRule="auto"/>
        <w:jc w:val="both"/>
      </w:pPr>
      <w:r>
        <w:rPr>
          <w:rFonts w:ascii="Times New Roman" w:hAnsi="Times New Roman"/>
          <w:b w:val="0"/>
          <w:i w:val="0"/>
          <w:color w:val="111827"/>
          <w:sz w:val="19"/>
        </w:rPr>
        <w:t>* Plant Operations Managers: Stop paying for emergency downtime, stop throwing away healthy components, and monitor global fleet health across all factory lines in real time.</w:t>
      </w:r>
    </w:p>
    <w:p>
      <w:pPr>
        <w:spacing w:before="0" w:after="60" w:line="276" w:lineRule="auto"/>
        <w:jc w:val="both"/>
      </w:pPr>
      <w:r>
        <w:rPr>
          <w:rFonts w:ascii="Times New Roman" w:hAnsi="Times New Roman"/>
          <w:b/>
          <w:i w:val="0"/>
          <w:color w:val="1E3A8A"/>
          <w:sz w:val="21"/>
        </w:rPr>
        <w:t>Research Questions and Success Criteria</w:t>
      </w:r>
    </w:p>
    <w:p>
      <w:pPr>
        <w:spacing w:before="0" w:after="80" w:line="276" w:lineRule="auto"/>
        <w:jc w:val="both"/>
      </w:pPr>
      <w:r>
        <w:rPr>
          <w:rFonts w:ascii="Times New Roman" w:hAnsi="Times New Roman"/>
          <w:b w:val="0"/>
          <w:i w:val="0"/>
          <w:color w:val="111827"/>
          <w:sz w:val="19"/>
        </w:rPr>
        <w:t>* RQ1: Can cost-sensitive gradient boosting handle the 3.39% class imbalance to achieve over 80% failure Recall while keeping overall Specificity above 90%?</w:t>
      </w:r>
    </w:p>
    <w:p>
      <w:pPr>
        <w:spacing w:before="0" w:after="80" w:line="276" w:lineRule="auto"/>
        <w:jc w:val="both"/>
      </w:pPr>
      <w:r>
        <w:rPr>
          <w:rFonts w:ascii="Times New Roman" w:hAnsi="Times New Roman"/>
          <w:b w:val="0"/>
          <w:i w:val="0"/>
          <w:color w:val="111827"/>
          <w:sz w:val="19"/>
        </w:rPr>
        <w:t>* RQ2: Does a temporal Stacked LSTM network outperform static regressors in forecasting continuous remaining cycles on deteriorating turbomachinery?</w:t>
      </w:r>
    </w:p>
    <w:p>
      <w:pPr>
        <w:spacing w:before="0" w:after="80" w:line="276" w:lineRule="auto"/>
        <w:jc w:val="both"/>
      </w:pPr>
      <w:r>
        <w:rPr>
          <w:rFonts w:ascii="Times New Roman" w:hAnsi="Times New Roman"/>
          <w:b w:val="0"/>
          <w:i w:val="0"/>
          <w:color w:val="111827"/>
          <w:sz w:val="19"/>
        </w:rPr>
        <w:t>* RQ3: Can a lightweight edge vision model accurately classify conveyor tears and hydraulic leaks (&gt;90% accuracy) while running fast enough for shop-floor cameras?</w:t>
      </w:r>
    </w:p>
    <w:p>
      <w:pPr>
        <w:spacing w:before="0" w:after="80" w:line="276" w:lineRule="auto"/>
        <w:jc w:val="both"/>
      </w:pPr>
      <w:r>
        <w:rPr>
          <w:rFonts w:ascii="Times New Roman" w:hAnsi="Times New Roman"/>
          <w:b w:val="0"/>
          <w:i w:val="0"/>
          <w:color w:val="111827"/>
          <w:sz w:val="19"/>
        </w:rPr>
        <w:t>* RQ4: Can SHAP feature attributions provide clear, physics-consistent root causes without introducing unacceptable prediction latency?</w:t>
      </w:r>
    </w:p>
    <w:p>
      <w:pPr>
        <w:spacing w:before="0" w:after="80" w:line="276" w:lineRule="auto"/>
        <w:jc w:val="both"/>
      </w:pPr>
      <w:r>
        <w:rPr>
          <w:rFonts w:ascii="Times New Roman" w:hAnsi="Times New Roman"/>
          <w:b/>
          <w:i w:val="0"/>
          <w:color w:val="0F172A"/>
          <w:sz w:val="24"/>
        </w:rPr>
        <w:t>4. Dataset Description</w:t>
      </w:r>
    </w:p>
    <w:p>
      <w:pPr>
        <w:spacing w:before="0" w:after="80" w:line="276" w:lineRule="auto"/>
        <w:jc w:val="both"/>
      </w:pPr>
      <w:r>
        <w:rPr>
          <w:rFonts w:ascii="Times New Roman" w:hAnsi="Times New Roman"/>
          <w:b w:val="0"/>
          <w:i w:val="0"/>
          <w:color w:val="111827"/>
          <w:sz w:val="19"/>
        </w:rPr>
        <w:t>We built and evaluated GearGuard using three established, publicly accessible industrial datasets. Table 2 summarizes their key characteristics and governance details.</w:t>
      </w:r>
    </w:p>
    <w:p>
      <w:pPr>
        <w:spacing w:before="0" w:after="80" w:line="276" w:lineRule="auto"/>
        <w:jc w:val="both"/>
      </w:pPr>
      <w:r>
        <w:rPr>
          <w:rFonts w:ascii="Times New Roman" w:hAnsi="Times New Roman"/>
          <w:b w:val="0"/>
          <w:i w:val="0"/>
          <w:color w:val="111827"/>
          <w:sz w:val="19"/>
        </w:rPr>
        <w:t>Table 2: Dataset Characteristics, Schema, and Data Governance</w:t>
      </w:r>
    </w:p>
    <w:tbl>
      <w:tblPr>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Identifier</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Domain &amp; Application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Total Scale &amp; Instances</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Feature Channels / Dimension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Target Variable &amp; Class Distribution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License &amp; Provenance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[1]</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High-precision CNC Milling Machine Telemetry</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10,000 continuous operational runs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 sensory features: Air Temp, Process Temp, Rotational Speed, Torque, Tool Wear, Machine Type</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Binary Machine Failure (9,661 Normal [96.61%], 339 Failure [3.39%]); 5 failure modes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Creative Commons Attribution 4.0 International (CC BY 4.0); UCI ML Repository</w:t>
            </w:r>
          </w:p>
        </w:tc>
      </w:tr>
      <w:tr>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FD001 [2]</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Aircraft Turbofan Engine Degradation Simulation</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100 engine units run to complete failure (20,631 total records)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21 sensor channels + 3 operational settings (filtered to 8 high-variance channels)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Continuous Remaining Useful Life (RUL in operating cycles, range: 0 to 192 cycles)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Public Domain (NASA Open Data Agreement); Prognostics Center of Excellence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Defect Vision Testbed [4]</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Surface Defect &amp; Edge Inspection Testbed</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1,800 annotated industrial surface images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$224 \times 224 \times 3$ RGB spatial pixel arrays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Categorical Defect Class: Healthy, Torn Conveyor Belt, Hydraulic Oil Leak</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Academic Research License; NEU Surface Defect Database &amp; shop-floor imagery</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Detailed Feature Schema (UCI AI4I 2020)</w:t>
      </w:r>
    </w:p>
    <w:p>
      <w:pPr>
        <w:spacing w:before="0" w:after="80" w:line="276" w:lineRule="auto"/>
        <w:jc w:val="both"/>
      </w:pPr>
      <w:r>
        <w:rPr>
          <w:rFonts w:ascii="Times New Roman" w:hAnsi="Times New Roman"/>
          <w:b w:val="0"/>
          <w:i w:val="0"/>
          <w:color w:val="111827"/>
          <w:sz w:val="19"/>
        </w:rPr>
        <w:t>The UCI AI4I 2020 dataset reflects realistic milling operations and includes the following features:</w:t>
      </w:r>
    </w:p>
    <w:p>
      <w:pPr>
        <w:spacing w:before="0" w:after="80" w:line="276" w:lineRule="auto"/>
        <w:jc w:val="both"/>
      </w:pPr>
      <w:r>
        <w:rPr>
          <w:rFonts w:ascii="Times New Roman" w:hAnsi="Times New Roman"/>
          <w:b w:val="0"/>
          <w:i w:val="0"/>
          <w:color w:val="111827"/>
          <w:sz w:val="19"/>
        </w:rPr>
        <w:t>1. Air Temperature ($T_{\text{air}}$): Ambient room temperature measured in Kelvin (mean: 300.0 K, std: 2.0 K).</w:t>
      </w:r>
    </w:p>
    <w:p>
      <w:pPr>
        <w:spacing w:before="0" w:after="80" w:line="276" w:lineRule="auto"/>
        <w:jc w:val="both"/>
      </w:pPr>
      <w:r>
        <w:rPr>
          <w:rFonts w:ascii="Times New Roman" w:hAnsi="Times New Roman"/>
          <w:b w:val="0"/>
          <w:i w:val="0"/>
          <w:color w:val="111827"/>
          <w:sz w:val="19"/>
        </w:rPr>
        <w:t>2. Process Temperature ($T_{\text{process}}$): Cutting zone temperature in Kelvin, generated by ambient temperature plus frictional machining heat (mean: 310.0 K, std: 1.48 K).</w:t>
      </w:r>
    </w:p>
    <w:p>
      <w:pPr>
        <w:spacing w:before="0" w:after="80" w:line="276" w:lineRule="auto"/>
        <w:jc w:val="both"/>
      </w:pPr>
      <w:r>
        <w:rPr>
          <w:rFonts w:ascii="Times New Roman" w:hAnsi="Times New Roman"/>
          <w:b w:val="0"/>
          <w:i w:val="0"/>
          <w:color w:val="111827"/>
          <w:sz w:val="19"/>
        </w:rPr>
        <w:t>3. Rotational Speed ($\omega$): Spindle rotation measured in revolutions per minute (RPM), derived from a 2.8 kW electrical motor (mean: 1,538.8 RPM, std: 179.3 RPM).</w:t>
      </w:r>
    </w:p>
    <w:p>
      <w:pPr>
        <w:spacing w:before="0" w:after="80" w:line="276" w:lineRule="auto"/>
        <w:jc w:val="both"/>
      </w:pPr>
      <w:r>
        <w:rPr>
          <w:rFonts w:ascii="Times New Roman" w:hAnsi="Times New Roman"/>
          <w:b w:val="0"/>
          <w:i w:val="0"/>
          <w:color w:val="111827"/>
          <w:sz w:val="19"/>
        </w:rPr>
        <w:t>4. Torque ($\tau$): Cutting torque delivered to the tool holder in Newton-meters (Nm), normally distributed around 40.0 Nm (std: 9.97 Nm).</w:t>
      </w:r>
    </w:p>
    <w:p>
      <w:pPr>
        <w:spacing w:before="0" w:after="80" w:line="276" w:lineRule="auto"/>
        <w:jc w:val="both"/>
      </w:pPr>
      <w:r>
        <w:rPr>
          <w:rFonts w:ascii="Times New Roman" w:hAnsi="Times New Roman"/>
          <w:b w:val="0"/>
          <w:i w:val="0"/>
          <w:color w:val="111827"/>
          <w:sz w:val="19"/>
        </w:rPr>
        <w:t>5. Tool Wear Time ($t_{\text{wear}}$): Cumulative minutes the cutting tool has been actively machining workpieces. Higher-grade cutting inserts (Type H) wear down slower than basic grades (Type L).</w:t>
      </w:r>
    </w:p>
    <w:p>
      <w:pPr>
        <w:spacing w:before="0" w:after="80" w:line="276" w:lineRule="auto"/>
        <w:jc w:val="both"/>
      </w:pPr>
      <w:r>
        <w:rPr>
          <w:rFonts w:ascii="Times New Roman" w:hAnsi="Times New Roman"/>
          <w:b w:val="0"/>
          <w:i w:val="0"/>
          <w:color w:val="111827"/>
          <w:sz w:val="19"/>
        </w:rPr>
        <w:t>6. Machine Quality Type ($g_{\text{type}}$): Categorical machine variant rating: Low (L, 50% of data), Medium (M, 30%), and High (H, 20%).</w:t>
      </w:r>
    </w:p>
    <w:p>
      <w:pPr>
        <w:spacing w:before="0" w:after="80" w:line="276" w:lineRule="auto"/>
        <w:jc w:val="both"/>
      </w:pPr>
      <w:r>
        <w:rPr>
          <w:rFonts w:ascii="Times New Roman" w:hAnsi="Times New Roman"/>
          <w:b w:val="0"/>
          <w:i w:val="0"/>
          <w:color w:val="111827"/>
          <w:sz w:val="19"/>
        </w:rPr>
        <w:t>7. Failure Modes: Beyond the primary binary failure flag, the dataset notes five physical failure causes: Tool Wear Failure (TWF), Heat Dissipation Failure (HDF), Power Failure (PWF), Overstrain Failure (OSF), and Random Failure (RNF).</w:t>
      </w:r>
    </w:p>
    <w:p>
      <w:pPr>
        <w:spacing w:before="0" w:after="60" w:line="276" w:lineRule="auto"/>
        <w:jc w:val="both"/>
      </w:pPr>
      <w:r>
        <w:rPr>
          <w:rFonts w:ascii="Times New Roman" w:hAnsi="Times New Roman"/>
          <w:b/>
          <w:i w:val="0"/>
          <w:color w:val="1E3A8A"/>
          <w:sz w:val="21"/>
        </w:rPr>
        <w:t>Data Preprocessing and Leakage Prevention</w:t>
      </w:r>
    </w:p>
    <w:p>
      <w:pPr>
        <w:spacing w:before="0" w:after="80" w:line="276" w:lineRule="auto"/>
        <w:jc w:val="both"/>
      </w:pPr>
      <w:r>
        <w:rPr>
          <w:rFonts w:ascii="Times New Roman" w:hAnsi="Times New Roman"/>
          <w:b w:val="0"/>
          <w:i w:val="0"/>
          <w:color w:val="111827"/>
          <w:sz w:val="19"/>
        </w:rPr>
        <w:t>We took strict precautions during data preparation to make sure our evaluation remained completely fair:</w:t>
      </w:r>
    </w:p>
    <w:p>
      <w:pPr>
        <w:spacing w:before="0" w:after="80" w:line="276" w:lineRule="auto"/>
        <w:jc w:val="both"/>
      </w:pPr>
      <w:r>
        <w:rPr>
          <w:rFonts w:ascii="Times New Roman" w:hAnsi="Times New Roman"/>
          <w:b w:val="0"/>
          <w:i w:val="0"/>
          <w:color w:val="111827"/>
          <w:sz w:val="19"/>
        </w:rPr>
        <w:t>* Stratified Splitting: We partitioned the 10,000 CNC records into an 80% training set (8,000 records) and a 20% test set (2,000 records) using stratified sampling to preserve the 3.39% failure ratio in both sets.</w:t>
      </w:r>
    </w:p>
    <w:p>
      <w:pPr>
        <w:spacing w:before="0" w:after="80" w:line="276" w:lineRule="auto"/>
        <w:jc w:val="both"/>
      </w:pPr>
      <w:r>
        <w:rPr>
          <w:rFonts w:ascii="Times New Roman" w:hAnsi="Times New Roman"/>
          <w:b w:val="0"/>
          <w:i w:val="0"/>
          <w:color w:val="111827"/>
          <w:sz w:val="19"/>
        </w:rPr>
        <w:t>* Fit-Transform Discipline: We fitted our StandardScaler ($\mu = 0, \sigma = 1$) exclusively on the 8,000 training samples. The test set was transformed using the training parameters alone, preventing any test set distribution statistics from leaking into model training.</w:t>
      </w:r>
    </w:p>
    <w:p>
      <w:pPr>
        <w:spacing w:before="0" w:after="80" w:line="276" w:lineRule="auto"/>
        <w:jc w:val="both"/>
      </w:pPr>
      <w:r>
        <w:rPr>
          <w:rFonts w:ascii="Times New Roman" w:hAnsi="Times New Roman"/>
          <w:b w:val="0"/>
          <w:i w:val="0"/>
          <w:color w:val="111827"/>
          <w:sz w:val="19"/>
        </w:rPr>
        <w:t>* Unit-Based Engine Partitioning: For the NASA C-MAPSS dataset, we split data strictly by engine unit identifier rather than randomly shuffling rows. This ensured that consecutive temporal steps from the same degrading engine never appeared in both training and testing sets.</w:t>
      </w:r>
    </w:p>
    <w:p>
      <w:pPr>
        <w:spacing w:before="0" w:after="80" w:line="276" w:lineRule="auto"/>
        <w:jc w:val="both"/>
      </w:pPr>
      <w:r>
        <w:rPr>
          <w:rFonts w:ascii="Times New Roman" w:hAnsi="Times New Roman"/>
          <w:b/>
          <w:i w:val="0"/>
          <w:color w:val="0F172A"/>
          <w:sz w:val="24"/>
        </w:rPr>
        <w:t>5. Methodology</w:t>
      </w:r>
    </w:p>
    <w:p>
      <w:pPr>
        <w:spacing w:before="0" w:after="80" w:line="276" w:lineRule="auto"/>
        <w:jc w:val="both"/>
      </w:pPr>
      <w:r>
        <w:rPr>
          <w:rFonts w:ascii="Times New Roman" w:hAnsi="Times New Roman"/>
          <w:b w:val="0"/>
          <w:i w:val="0"/>
          <w:color w:val="111827"/>
          <w:sz w:val="19"/>
        </w:rPr>
        <w:t>GearGuard operates as a modular, hybrid architecture combining sensor diagnostics, temporal prognostics, optical defect screening, and game-theoretic explainability. Figure 1 illustrates the end-to-end data flow.</w:t>
      </w:r>
    </w:p>
    <w:p>
      <w:pPr>
        <w:spacing w:before="0" w:after="80" w:line="276" w:lineRule="auto"/>
        <w:jc w:val="both"/>
      </w:pPr>
      <w:r>
        <w:rPr>
          <w:rFonts w:ascii="Times New Roman" w:hAnsi="Times New Roman"/>
          <w:b w:val="0"/>
          <w:i w:val="0"/>
          <w:color w:val="111827"/>
          <w:sz w:val="19"/>
        </w:rPr>
        <w:t>A2["Temporal Turbomachinery Sensors&lt;br/&gt;(8 High-Variance C-MAPSS Channels)"]</w:t>
      </w:r>
    </w:p>
    <w:p>
      <w:pPr>
        <w:spacing w:before="0" w:after="80" w:line="276" w:lineRule="auto"/>
        <w:jc w:val="both"/>
      </w:pPr>
      <w:r>
        <w:rPr>
          <w:rFonts w:ascii="Times New Roman" w:hAnsi="Times New Roman"/>
          <w:b w:val="0"/>
          <w:i w:val="0"/>
          <w:color w:val="111827"/>
          <w:sz w:val="19"/>
        </w:rPr>
        <w:t>A3["Factory Camera Frames&lt;br/&gt;(Conveyor &amp; Hydraulic Sub-Assemblies)"]</w:t>
      </w:r>
    </w:p>
    <w:p>
      <w:pPr>
        <w:spacing w:before="0" w:after="80" w:line="276" w:lineRule="auto"/>
        <w:jc w:val="both"/>
      </w:pPr>
      <w:r>
        <w:rPr>
          <w:rFonts w:ascii="Times New Roman" w:hAnsi="Times New Roman"/>
          <w:b w:val="0"/>
          <w:i w:val="0"/>
          <w:color w:val="111827"/>
          <w:sz w:val="19"/>
        </w:rPr>
        <w:t>B2["Sliding Temporal Window&lt;br/&gt;(FIFO Buffer: 20 Steps × 8 Sensors)"]</w:t>
      </w:r>
    </w:p>
    <w:p>
      <w:pPr>
        <w:spacing w:before="0" w:after="80" w:line="276" w:lineRule="auto"/>
        <w:jc w:val="both"/>
      </w:pPr>
      <w:r>
        <w:rPr>
          <w:rFonts w:ascii="Times New Roman" w:hAnsi="Times New Roman"/>
          <w:b w:val="0"/>
          <w:i w:val="0"/>
          <w:color w:val="111827"/>
          <w:sz w:val="19"/>
        </w:rPr>
        <w:t>B3["Image Normalization &amp; Central ROI Crop&lt;br/&gt;(224 × 224 × 3 RGB)"]</w:t>
      </w:r>
    </w:p>
    <w:p>
      <w:pPr>
        <w:spacing w:before="0" w:after="80" w:line="276" w:lineRule="auto"/>
        <w:jc w:val="both"/>
      </w:pPr>
      <w:r>
        <w:rPr>
          <w:rFonts w:ascii="Times New Roman" w:hAnsi="Times New Roman"/>
          <w:b w:val="0"/>
          <w:i w:val="0"/>
          <w:color w:val="111827"/>
          <w:sz w:val="19"/>
        </w:rPr>
        <w:t>C2["Module 2: Prognostic Regressor&lt;br/&gt;Stacked LSTM (64u + 32u + Dropout 0.20)"]</w:t>
      </w:r>
    </w:p>
    <w:p>
      <w:pPr>
        <w:spacing w:before="0" w:after="80" w:line="276" w:lineRule="auto"/>
        <w:jc w:val="both"/>
      </w:pPr>
      <w:r>
        <w:rPr>
          <w:rFonts w:ascii="Times New Roman" w:hAnsi="Times New Roman"/>
          <w:b w:val="0"/>
          <w:i w:val="0"/>
          <w:color w:val="111827"/>
          <w:sz w:val="19"/>
        </w:rPr>
        <w:t>C3["Module 3: Edge Computer Vision&lt;br/&gt;MobileNet-V3 + Sobel Edge + Dark Ratio"]</w:t>
      </w:r>
    </w:p>
    <w:p>
      <w:pPr>
        <w:spacing w:before="0" w:after="80" w:line="276" w:lineRule="auto"/>
        <w:jc w:val="both"/>
      </w:pPr>
      <w:r>
        <w:rPr>
          <w:rFonts w:ascii="Times New Roman" w:hAnsi="Times New Roman"/>
          <w:b w:val="0"/>
          <w:i w:val="0"/>
          <w:color w:val="111827"/>
          <w:sz w:val="19"/>
        </w:rPr>
        <w:t>D2["Composite Fleet Health Index (0–100%)&lt;br/&gt;Multi-Risk Fusion Formula"]</w:t>
      </w:r>
    </w:p>
    <w:p>
      <w:pPr>
        <w:spacing w:before="0" w:after="80" w:line="276" w:lineRule="auto"/>
        <w:jc w:val="both"/>
      </w:pPr>
      <w:r>
        <w:rPr>
          <w:rFonts w:ascii="Times New Roman" w:hAnsi="Times New Roman"/>
          <w:b w:val="0"/>
          <w:i w:val="0"/>
          <w:color w:val="111827"/>
          <w:sz w:val="19"/>
        </w:rPr>
        <w:t>D3["Interactive Operations Cockpit&lt;br/&gt;Live 3.5s Telemetry &amp; Automated Work Orders"]</w:t>
      </w:r>
    </w:p>
    <w:p>
      <w:pPr>
        <w:spacing w:before="0" w:after="60" w:line="276" w:lineRule="auto"/>
        <w:jc w:val="both"/>
      </w:pPr>
      <w:r>
        <w:rPr>
          <w:rFonts w:ascii="Times New Roman" w:hAnsi="Times New Roman"/>
          <w:b/>
          <w:i w:val="0"/>
          <w:color w:val="1E3A8A"/>
          <w:sz w:val="21"/>
        </w:rPr>
        <w:t>5.1 Module 1: Diagnostic Failure Classifier (XGBoost)</w:t>
      </w:r>
    </w:p>
    <w:p>
      <w:pPr>
        <w:spacing w:before="0" w:after="80" w:line="276" w:lineRule="auto"/>
        <w:jc w:val="both"/>
      </w:pPr>
      <w:r>
        <w:rPr>
          <w:rFonts w:ascii="Times New Roman" w:hAnsi="Times New Roman"/>
          <w:b w:val="0"/>
          <w:i w:val="0"/>
          <w:color w:val="111827"/>
          <w:sz w:val="19"/>
        </w:rPr>
        <w:t>For instantaneous failure detection, Extreme Gradient Boosting (XGBoost) turned out to be our top performer. The algorithm builds a sequence of regression trees. At each boosting iteration $t$, it minimizes a regularized objective function:</w:t>
      </w:r>
    </w:p>
    <w:p>
      <w:pPr>
        <w:spacing w:before="0" w:after="80" w:line="276" w:lineRule="auto"/>
        <w:jc w:val="both"/>
      </w:pPr>
      <w:r>
        <w:rPr>
          <w:rFonts w:ascii="Times New Roman" w:hAnsi="Times New Roman"/>
          <w:b w:val="0"/>
          <w:i w:val="0"/>
          <w:color w:val="111827"/>
          <w:sz w:val="19"/>
        </w:rPr>
        <w:t>$$\mathcal{L}^{(t)} = \sum_{i=1}^n l\left(y_i, \hat{y}_i^{(t-1)} + f_t(\mathbf{x}_i)\right) + \Omega(f_t)$$</w:t>
      </w:r>
    </w:p>
    <w:p>
      <w:pPr>
        <w:spacing w:before="0" w:after="80" w:line="276" w:lineRule="auto"/>
        <w:jc w:val="both"/>
      </w:pPr>
      <w:r>
        <w:rPr>
          <w:rFonts w:ascii="Times New Roman" w:hAnsi="Times New Roman"/>
          <w:b w:val="0"/>
          <w:i w:val="0"/>
          <w:color w:val="111827"/>
          <w:sz w:val="19"/>
        </w:rPr>
        <w:t>where $\Omega(f_t) = \gamma T + \frac{1}{2}\lambda \sum_{j=1}^T w_j^2$ penalizes tree complexity by controlling leaf count $T$ and leaf weights $w_j$. Taking a second-order Taylor expansion around the previous prediction $\hat{y}_i^{(t-1)}$:</w:t>
      </w:r>
    </w:p>
    <w:p>
      <w:pPr>
        <w:spacing w:before="0" w:after="80" w:line="276" w:lineRule="auto"/>
        <w:jc w:val="both"/>
      </w:pPr>
      <w:r>
        <w:rPr>
          <w:rFonts w:ascii="Times New Roman" w:hAnsi="Times New Roman"/>
          <w:b w:val="0"/>
          <w:i w:val="0"/>
          <w:color w:val="111827"/>
          <w:sz w:val="19"/>
        </w:rPr>
        <w:t>$$\mathcal{L}^{(t)} \approx \sum_{i=1}^n \left[ l\left(y_i, \hat{y}_i^{(t-1)}\right) + g_i f_t(\mathbf{x}_i) + \frac{1}{2} h_i f_t^2(\mathbf{x}_i) \right] + \Omega(f_t)$$</w:t>
      </w:r>
    </w:p>
    <w:p>
      <w:pPr>
        <w:spacing w:before="0" w:after="80" w:line="276" w:lineRule="auto"/>
        <w:jc w:val="both"/>
      </w:pPr>
      <w:r>
        <w:rPr>
          <w:rFonts w:ascii="Times New Roman" w:hAnsi="Times New Roman"/>
          <w:b w:val="0"/>
          <w:i w:val="0"/>
          <w:color w:val="111827"/>
          <w:sz w:val="19"/>
        </w:rPr>
        <w:t>where $g_i = \partial_{\hat{y}^{(t-1)}} l(y_i, \hat{y}^{(t-1)})$ and $h_i = \partial^2_{\hat{y}^{(t-1)}} l(y_i, \hat{y}^{(t-1)})$ represent the first-order (gradient) and second-order (Hessian) derivatives of the loss function.</w:t>
      </w:r>
    </w:p>
    <w:p>
      <w:pPr>
        <w:spacing w:before="0" w:after="80" w:line="276" w:lineRule="auto"/>
        <w:jc w:val="both"/>
      </w:pPr>
      <w:r>
        <w:rPr>
          <w:rFonts w:ascii="Times New Roman" w:hAnsi="Times New Roman"/>
          <w:b w:val="0"/>
          <w:i w:val="0"/>
          <w:color w:val="111827"/>
          <w:sz w:val="19"/>
        </w:rPr>
        <w:t>Handling Severe Class Imbalance:</w:t>
      </w:r>
    </w:p>
    <w:p>
      <w:pPr>
        <w:spacing w:before="0" w:after="80" w:line="276" w:lineRule="auto"/>
        <w:jc w:val="both"/>
      </w:pPr>
      <w:r>
        <w:rPr>
          <w:rFonts w:ascii="Times New Roman" w:hAnsi="Times New Roman"/>
          <w:b w:val="0"/>
          <w:i w:val="0"/>
          <w:color w:val="111827"/>
          <w:sz w:val="19"/>
        </w:rPr>
        <w:t>Because 96.61% of our training samples are healthy runs, a standard objective would barely pay attention to the 3.39% failure cases. We configured XGBoost's cost-sensitive parameter:</w:t>
      </w:r>
    </w:p>
    <w:p>
      <w:pPr>
        <w:spacing w:before="0" w:after="80" w:line="276" w:lineRule="auto"/>
        <w:jc w:val="both"/>
      </w:pPr>
      <w:r>
        <w:rPr>
          <w:rFonts w:ascii="Times New Roman" w:hAnsi="Times New Roman"/>
          <w:b w:val="0"/>
          <w:i w:val="0"/>
          <w:color w:val="111827"/>
          <w:sz w:val="19"/>
        </w:rPr>
        <w:t>$$\text{scale\_pos\_weight} = \frac{N_{\text{negative}}}{N_{\text{positive}}} = \frac{9661}{339} \approx 28.5 \quad (\text{tuned empirically to } 27.5)$$</w:t>
      </w:r>
    </w:p>
    <w:p>
      <w:pPr>
        <w:spacing w:before="0" w:after="80" w:line="276" w:lineRule="auto"/>
        <w:jc w:val="both"/>
      </w:pPr>
      <w:r>
        <w:rPr>
          <w:rFonts w:ascii="Times New Roman" w:hAnsi="Times New Roman"/>
          <w:b w:val="0"/>
          <w:i w:val="0"/>
          <w:color w:val="111827"/>
          <w:sz w:val="19"/>
        </w:rPr>
        <w:t>This scales both the gradient $g_i$ and Hessian $h_i$ by 27.5 whenever $y_i = 1$. The optimization process is forced to heavily penalize False Negatives (missed breakdowns), steering split choices toward isolating failure boundaries.</w:t>
      </w:r>
    </w:p>
    <w:p>
      <w:pPr>
        <w:spacing w:before="0" w:after="60" w:line="276" w:lineRule="auto"/>
        <w:jc w:val="both"/>
      </w:pPr>
      <w:r>
        <w:rPr>
          <w:rFonts w:ascii="Times New Roman" w:hAnsi="Times New Roman"/>
          <w:b/>
          <w:i w:val="0"/>
          <w:color w:val="1E3A8A"/>
          <w:sz w:val="21"/>
        </w:rPr>
        <w:t>5.2 Module 2: Prognostic Remaining Useful Life Regressor (Stacked LSTM)</w:t>
      </w:r>
    </w:p>
    <w:p>
      <w:pPr>
        <w:spacing w:before="0" w:after="80" w:line="276" w:lineRule="auto"/>
        <w:jc w:val="both"/>
      </w:pPr>
      <w:r>
        <w:rPr>
          <w:rFonts w:ascii="Times New Roman" w:hAnsi="Times New Roman"/>
          <w:b w:val="0"/>
          <w:i w:val="0"/>
          <w:color w:val="111827"/>
          <w:sz w:val="19"/>
        </w:rPr>
        <w:t>Estimating Remaining Useful Life requires looking beyond instantaneous sensor values to understand how wear is trending across recent operating cycles. We built a deep Stacked Long Short-Term Memory (LSTM) network that processes a 20-step sliding temporal window $\mathbf{X} \in \mathbb{R}^{20 \times 8}$.</w:t>
      </w:r>
    </w:p>
    <w:p>
      <w:pPr>
        <w:spacing w:before="0" w:after="80" w:line="276" w:lineRule="auto"/>
        <w:jc w:val="both"/>
      </w:pPr>
      <w:r>
        <w:rPr>
          <w:rFonts w:ascii="Times New Roman" w:hAnsi="Times New Roman"/>
          <w:b w:val="0"/>
          <w:i w:val="0"/>
          <w:color w:val="111827"/>
          <w:sz w:val="19"/>
        </w:rPr>
        <w:t>At each time step $k$, an LSTM cell updates its gating mechanisms and cell memory via:</w:t>
      </w:r>
    </w:p>
    <w:p>
      <w:pPr>
        <w:spacing w:before="0" w:after="80" w:line="276" w:lineRule="auto"/>
        <w:jc w:val="both"/>
      </w:pPr>
      <w:r>
        <w:rPr>
          <w:rFonts w:ascii="Times New Roman" w:hAnsi="Times New Roman"/>
          <w:b w:val="0"/>
          <w:i w:val="0"/>
          <w:color w:val="111827"/>
          <w:sz w:val="19"/>
        </w:rPr>
        <w:t>$$\mathbf{f}_k = \sigma(\mathbf{W}_f \mathbf{x}_k + \mathbf{U}_f \mathbf{h}_{k-1} + \mathbf{b}_f) \quad \text{(Forget Gate)}$$</w:t>
      </w:r>
    </w:p>
    <w:p>
      <w:pPr>
        <w:spacing w:before="0" w:after="80" w:line="276" w:lineRule="auto"/>
        <w:jc w:val="both"/>
      </w:pPr>
      <w:r>
        <w:rPr>
          <w:rFonts w:ascii="Times New Roman" w:hAnsi="Times New Roman"/>
          <w:b w:val="0"/>
          <w:i w:val="0"/>
          <w:color w:val="111827"/>
          <w:sz w:val="19"/>
        </w:rPr>
        <w:t>$$\mathbf{i}_k = \sigma(\mathbf{W}_i \mathbf{x}_k + \mathbf{U}_i \mathbf{h}_{k-1} + \mathbf{b}_i) \quad \text{(Input Gate)}$$</w:t>
      </w:r>
    </w:p>
    <w:p>
      <w:pPr>
        <w:spacing w:before="0" w:after="80" w:line="276" w:lineRule="auto"/>
        <w:jc w:val="both"/>
      </w:pPr>
      <w:r>
        <w:rPr>
          <w:rFonts w:ascii="Times New Roman" w:hAnsi="Times New Roman"/>
          <w:b w:val="0"/>
          <w:i w:val="0"/>
          <w:color w:val="111827"/>
          <w:sz w:val="19"/>
        </w:rPr>
        <w:t>$$\tilde{\mathbf{C}}_k = \tanh(\mathbf{W}_c \mathbf{x}_k + \mathbf{U}_c \mathbf{h}_{k-1} + \mathbf{b}_c) \quad \text{(Candidate Cell State)}$$</w:t>
      </w:r>
    </w:p>
    <w:p>
      <w:pPr>
        <w:spacing w:before="0" w:after="80" w:line="276" w:lineRule="auto"/>
        <w:jc w:val="both"/>
      </w:pPr>
      <w:r>
        <w:rPr>
          <w:rFonts w:ascii="Times New Roman" w:hAnsi="Times New Roman"/>
          <w:b w:val="0"/>
          <w:i w:val="0"/>
          <w:color w:val="111827"/>
          <w:sz w:val="19"/>
        </w:rPr>
        <w:t>$$\mathbf{C}_k = \mathbf{f}_k \odot \mathbf{C}_{k-1} + \mathbf{i}_k \odot \tilde{\mathbf{C}}_k \quad \text{(Updated Cell State)}$$</w:t>
      </w:r>
    </w:p>
    <w:p>
      <w:pPr>
        <w:spacing w:before="0" w:after="80" w:line="276" w:lineRule="auto"/>
        <w:jc w:val="both"/>
      </w:pPr>
      <w:r>
        <w:rPr>
          <w:rFonts w:ascii="Times New Roman" w:hAnsi="Times New Roman"/>
          <w:b w:val="0"/>
          <w:i w:val="0"/>
          <w:color w:val="111827"/>
          <w:sz w:val="19"/>
        </w:rPr>
        <w:t>$$\mathbf{o}_k = \sigma(\mathbf{W}_o \mathbf{x}_k + \mathbf{U}_o \mathbf{h}_{k-1} + \mathbf{b}_o) \quad \text{(Output Gate)}$$</w:t>
      </w:r>
    </w:p>
    <w:p>
      <w:pPr>
        <w:spacing w:before="0" w:after="80" w:line="276" w:lineRule="auto"/>
        <w:jc w:val="both"/>
      </w:pPr>
      <w:r>
        <w:rPr>
          <w:rFonts w:ascii="Times New Roman" w:hAnsi="Times New Roman"/>
          <w:b w:val="0"/>
          <w:i w:val="0"/>
          <w:color w:val="111827"/>
          <w:sz w:val="19"/>
        </w:rPr>
        <w:t>$$\mathbf{h}_k = \mathbf{o}_k \odot \tanh(\mathbf{C}_k) \quad \text{(Hidden State Vector)}$$</w:t>
      </w:r>
    </w:p>
    <w:p>
      <w:pPr>
        <w:spacing w:before="0" w:after="80" w:line="276" w:lineRule="auto"/>
        <w:jc w:val="both"/>
      </w:pPr>
      <w:r>
        <w:rPr>
          <w:rFonts w:ascii="Times New Roman" w:hAnsi="Times New Roman"/>
          <w:b w:val="0"/>
          <w:i w:val="0"/>
          <w:color w:val="111827"/>
          <w:sz w:val="19"/>
        </w:rPr>
        <w:t>Our network stacks two LSTM layers: Layer 1 contains 64 memory units with sequence return enabled, followed by Layer 2 with 32 units, Batch Normalization, and a 20% Dropout rate to prevent overfitting. A fully connected linear head outputs the continuous predicted RUL in machine operating cycles:</w:t>
      </w:r>
    </w:p>
    <w:p>
      <w:pPr>
        <w:spacing w:before="0" w:after="80" w:line="276" w:lineRule="auto"/>
        <w:jc w:val="both"/>
      </w:pPr>
      <w:r>
        <w:rPr>
          <w:rFonts w:ascii="Times New Roman" w:hAnsi="Times New Roman"/>
          <w:b w:val="0"/>
          <w:i w:val="0"/>
          <w:color w:val="111827"/>
          <w:sz w:val="19"/>
        </w:rPr>
        <w:t>$$\widehat{\text{RUL}} = \mathbf{W}_r \mathbf{h}_K^{(2)} + b_r$$</w:t>
      </w:r>
    </w:p>
    <w:p>
      <w:pPr>
        <w:spacing w:before="0" w:after="60" w:line="276" w:lineRule="auto"/>
        <w:jc w:val="both"/>
      </w:pPr>
      <w:r>
        <w:rPr>
          <w:rFonts w:ascii="Times New Roman" w:hAnsi="Times New Roman"/>
          <w:b/>
          <w:i w:val="0"/>
          <w:color w:val="1E3A8A"/>
          <w:sz w:val="21"/>
        </w:rPr>
        <w:t>5.3 Module 3: Multimodal Edge Computer Vision Inspection</w:t>
      </w:r>
    </w:p>
    <w:p>
      <w:pPr>
        <w:spacing w:before="0" w:after="80" w:line="276" w:lineRule="auto"/>
        <w:jc w:val="both"/>
      </w:pPr>
      <w:r>
        <w:rPr>
          <w:rFonts w:ascii="Times New Roman" w:hAnsi="Times New Roman"/>
          <w:b w:val="0"/>
          <w:i w:val="0"/>
          <w:color w:val="111827"/>
          <w:sz w:val="19"/>
        </w:rPr>
        <w:t>Sensors tell only half the story on a factory floor. When a conveyor belt rips or hydraulic fluid pools on the floor, vibration sensors see nothing abnormal. That prompted us to add a visual inspection branch using MobileNet-V3 Small. MobileNet-V3 replaces heavy standard convolutions with depthwise separable convolutions:</w:t>
      </w:r>
    </w:p>
    <w:p>
      <w:pPr>
        <w:spacing w:before="0" w:after="80" w:line="276" w:lineRule="auto"/>
        <w:jc w:val="both"/>
      </w:pPr>
      <w:r>
        <w:rPr>
          <w:rFonts w:ascii="Times New Roman" w:hAnsi="Times New Roman"/>
          <w:b w:val="0"/>
          <w:i w:val="0"/>
          <w:color w:val="111827"/>
          <w:sz w:val="19"/>
        </w:rPr>
        <w:t>$$\text{Depthwise-Separable-Conv}(\mathbf{x}) = \text{Pointwise}_{1 \times 1}\Big(\text{Depthwise}_{3 \times 3}(\mathbf{x})\Big)$$</w:t>
      </w:r>
    </w:p>
    <w:p>
      <w:pPr>
        <w:spacing w:before="0" w:after="80" w:line="276" w:lineRule="auto"/>
        <w:jc w:val="both"/>
      </w:pPr>
      <w:r>
        <w:rPr>
          <w:rFonts w:ascii="Times New Roman" w:hAnsi="Times New Roman"/>
          <w:b w:val="0"/>
          <w:i w:val="0"/>
          <w:color w:val="111827"/>
          <w:sz w:val="19"/>
        </w:rPr>
        <w:t>This cuts parameter counts and floating-point operations by over 80%. We also incorporated two physical domain checks:</w:t>
      </w:r>
    </w:p>
    <w:p>
      <w:pPr>
        <w:spacing w:before="0" w:after="80" w:line="276" w:lineRule="auto"/>
        <w:jc w:val="both"/>
      </w:pPr>
      <w:r>
        <w:rPr>
          <w:rFonts w:ascii="Times New Roman" w:hAnsi="Times New Roman"/>
          <w:b w:val="0"/>
          <w:i w:val="0"/>
          <w:color w:val="111827"/>
          <w:sz w:val="19"/>
        </w:rPr>
        <w:t>1. Sobel Edge Fracture Density: Detects frayed, ripped rubber fibers on conveyor belts by calculating gradient spatial density:</w:t>
      </w:r>
    </w:p>
    <w:p>
      <w:pPr>
        <w:spacing w:before="0" w:after="80" w:line="276" w:lineRule="auto"/>
        <w:jc w:val="both"/>
      </w:pPr>
      <w:r>
        <w:rPr>
          <w:rFonts w:ascii="Times New Roman" w:hAnsi="Times New Roman"/>
          <w:b w:val="0"/>
          <w:i w:val="0"/>
          <w:color w:val="111827"/>
          <w:sz w:val="19"/>
        </w:rPr>
        <w:t>$$\rho_{\text{edge}} = \frac{1}{H \cdot W} \sum_{u=1}^H \sum_{v=1}^W \mathbb{I}\left(\sqrt{G_x(u,v)^2 + G_y(u,v)^2} &gt; \tau_{\text{edge}}\right)$$</w:t>
      </w:r>
    </w:p>
    <w:p>
      <w:pPr>
        <w:spacing w:before="0" w:after="80" w:line="276" w:lineRule="auto"/>
        <w:jc w:val="both"/>
      </w:pPr>
      <w:r>
        <w:rPr>
          <w:rFonts w:ascii="Times New Roman" w:hAnsi="Times New Roman"/>
          <w:b w:val="0"/>
          <w:i w:val="0"/>
          <w:color w:val="111827"/>
          <w:sz w:val="19"/>
        </w:rPr>
        <w:t>2. Hydraulic Dark-Ratio Pooling: Identifies pooled hydraulic oil by tracking dark, low-reflectance pixel patches in normalized HSV space.</w:t>
      </w:r>
    </w:p>
    <w:p>
      <w:pPr>
        <w:spacing w:before="0" w:after="60" w:line="276" w:lineRule="auto"/>
        <w:jc w:val="both"/>
      </w:pPr>
      <w:r>
        <w:rPr>
          <w:rFonts w:ascii="Times New Roman" w:hAnsi="Times New Roman"/>
          <w:b/>
          <w:i w:val="0"/>
          <w:color w:val="1E3A8A"/>
          <w:sz w:val="21"/>
        </w:rPr>
        <w:t>5.4 Proposed Innovation: Explainable AI &amp; Prescriptive Cockpit</w:t>
      </w:r>
    </w:p>
    <w:p>
      <w:pPr>
        <w:spacing w:before="0" w:after="80" w:line="276" w:lineRule="auto"/>
        <w:jc w:val="both"/>
      </w:pPr>
      <w:r>
        <w:rPr>
          <w:rFonts w:ascii="Times New Roman" w:hAnsi="Times New Roman"/>
          <w:b w:val="0"/>
          <w:i w:val="0"/>
          <w:color w:val="111827"/>
          <w:sz w:val="19"/>
        </w:rPr>
        <w:t>Even the most accurate machine learning model is useless if technicians on the shop floor refuse to trust it. That is why we added SHAP (SHapley Additive exPlanations) directly into the diagnostic loop. Based on cooperative game theory, Shapley values distribute the model's output fairly among all input features:</w:t>
      </w:r>
    </w:p>
    <w:p>
      <w:pPr>
        <w:spacing w:before="0" w:after="80" w:line="276" w:lineRule="auto"/>
        <w:jc w:val="both"/>
      </w:pPr>
      <w:r>
        <w:rPr>
          <w:rFonts w:ascii="Times New Roman" w:hAnsi="Times New Roman"/>
          <w:b w:val="0"/>
          <w:i w:val="0"/>
          <w:color w:val="111827"/>
          <w:sz w:val="19"/>
        </w:rPr>
        <w:t>$$\phi_i(f, \mathbf{x}) = \sum_{S \subseteq F \setminus \{i\}} \frac{|S|! (|F| - |S| - 1)!}{|F|!} \left[ f(S \cup \{i\}) - f(S) \right]$$</w:t>
      </w:r>
    </w:p>
    <w:p>
      <w:pPr>
        <w:spacing w:before="0" w:after="80" w:line="276" w:lineRule="auto"/>
        <w:jc w:val="both"/>
      </w:pPr>
      <w:r>
        <w:rPr>
          <w:rFonts w:ascii="Times New Roman" w:hAnsi="Times New Roman"/>
          <w:b w:val="0"/>
          <w:i w:val="0"/>
          <w:color w:val="111827"/>
          <w:sz w:val="19"/>
        </w:rPr>
        <w:t>When GearGuard flags an alert, the dashboard explains the prediction additively:</w:t>
      </w:r>
    </w:p>
    <w:p>
      <w:pPr>
        <w:spacing w:before="0" w:after="80" w:line="276" w:lineRule="auto"/>
        <w:jc w:val="both"/>
      </w:pPr>
      <w:r>
        <w:rPr>
          <w:rFonts w:ascii="Times New Roman" w:hAnsi="Times New Roman"/>
          <w:b w:val="0"/>
          <w:i w:val="0"/>
          <w:color w:val="111827"/>
          <w:sz w:val="19"/>
        </w:rPr>
        <w:t>$$\text{Risk Output} = \text{Baseline Risk (3.4\%)} + \phi_{\text{ToolWear}} + \phi_{\text{Torque}} + \phi_{\text{Temp}} + \dots$$</w:t>
      </w:r>
    </w:p>
    <w:p>
      <w:pPr>
        <w:spacing w:before="0" w:after="80" w:line="276" w:lineRule="auto"/>
        <w:jc w:val="both"/>
      </w:pPr>
      <w:r>
        <w:rPr>
          <w:rFonts w:ascii="Times New Roman" w:hAnsi="Times New Roman"/>
          <w:b w:val="0"/>
          <w:i w:val="0"/>
          <w:color w:val="111827"/>
          <w:sz w:val="19"/>
        </w:rPr>
        <w:t>We then combine these insights into a single Fleet Health Index ($H \in [0, 100\%]$):</w:t>
      </w:r>
    </w:p>
    <w:p>
      <w:pPr>
        <w:spacing w:before="0" w:after="80" w:line="276" w:lineRule="auto"/>
        <w:jc w:val="both"/>
      </w:pPr>
      <w:r>
        <w:rPr>
          <w:rFonts w:ascii="Times New Roman" w:hAnsi="Times New Roman"/>
          <w:b w:val="0"/>
          <w:i w:val="0"/>
          <w:color w:val="111827"/>
          <w:sz w:val="19"/>
        </w:rPr>
        <w:t>$$H_m = 100 - \left( 50 \cdot P_{\text{XGBoost}}(y=1) + 30 \cdot \max\left(0, 1 - \frac{\widehat{\text{RUL}}}{100}\right) + 20 \cdot P_{\text{Vision}}(\text{Defect}) \right)$$</w:t>
      </w:r>
    </w:p>
    <w:p>
      <w:pPr>
        <w:spacing w:before="0" w:after="80" w:line="276" w:lineRule="auto"/>
        <w:jc w:val="both"/>
      </w:pPr>
      <w:r>
        <w:rPr>
          <w:rFonts w:ascii="Times New Roman" w:hAnsi="Times New Roman"/>
          <w:b w:val="0"/>
          <w:i w:val="0"/>
          <w:color w:val="111827"/>
          <w:sz w:val="19"/>
        </w:rPr>
        <w:t>If $H_m$ falls below 60%, the cockpit triggers an amber maintenance inspection. If it drops below 40%, the system flags a red emergency hazard and automatically generates a digital work order.</w:t>
      </w:r>
    </w:p>
    <w:p>
      <w:pPr>
        <w:spacing w:before="0" w:after="80" w:line="276" w:lineRule="auto"/>
        <w:jc w:val="both"/>
      </w:pPr>
      <w:r>
        <w:rPr>
          <w:rFonts w:ascii="Times New Roman" w:hAnsi="Times New Roman"/>
          <w:b/>
          <w:i w:val="0"/>
          <w:color w:val="0F172A"/>
          <w:sz w:val="24"/>
        </w:rPr>
        <w:t>6. Experimental Setup</w:t>
      </w:r>
    </w:p>
    <w:p>
      <w:pPr>
        <w:spacing w:before="0" w:after="80" w:line="276" w:lineRule="auto"/>
        <w:jc w:val="both"/>
      </w:pPr>
      <w:r>
        <w:rPr>
          <w:rFonts w:ascii="Times New Roman" w:hAnsi="Times New Roman"/>
          <w:b w:val="0"/>
          <w:i w:val="0"/>
          <w:color w:val="111827"/>
          <w:sz w:val="19"/>
        </w:rPr>
        <w:t>We kept our experimental setup consistent across all runs so our benchmark comparisons remained fair. Table 3 lists the complete hardware specifications, software dependencies, and model hyperparameters.</w:t>
      </w:r>
    </w:p>
    <w:p>
      <w:pPr>
        <w:spacing w:before="0" w:after="80" w:line="276" w:lineRule="auto"/>
        <w:jc w:val="both"/>
      </w:pPr>
      <w:r>
        <w:rPr>
          <w:rFonts w:ascii="Times New Roman" w:hAnsi="Times New Roman"/>
          <w:b w:val="0"/>
          <w:i w:val="0"/>
          <w:color w:val="111827"/>
          <w:sz w:val="19"/>
        </w:rPr>
        <w:t>Table 3: Hardware, Software Environment, and Hyperparameter Specifications</w:t>
      </w:r>
    </w:p>
    <w:tbl>
      <w:tblPr>
        <w:tblW w:type="auto" w:w="0"/>
        <w:jc w:val="center"/>
        <w:tblLook w:firstColumn="1" w:firstRow="1" w:lastColumn="0" w:lastRow="0" w:noHBand="0" w:noVBand="1" w:val="04A0"/>
      </w:tblPr>
      <w:tblGrid>
        <w:gridCol w:w="5112"/>
        <w:gridCol w:w="5112"/>
      </w:tblGrid>
      <w:tr>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Component</w:t>
            </w:r>
          </w:p>
        </w:tc>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Technical Specification / Configuration</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Hardware Platform</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Intel Core i7-11800H @ 2.30GHz (8 Cores, 16 Threads), 16 GB DDR4 RAM, NVIDIA GeForce RTX 3050 Laptop GPU (4 GB VRAM)</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Operating System</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Windows 11 Enterprise (64-bit), Build 26100</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Programming Language</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Python 3.13.2 (64-bit)</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Core Libraries</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PyTorch 2.4.1, XGBoost 2.1.1, Scikit-Learn 1.5.2, SHAP 0.46.0, NumPy 2.1.1, Pandas 2.2.3</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Frontend Cockpit</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React 18, Vite 5, Tailwind CSS, Recharts 2.12, Lucide Icons</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XGBoost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n_estimators = 150, max_depth = 5, learning_rate = 0.05, scale_pos_weight = 27.5, subsample = 0.85, colsample_bytree = 0.85</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Stacked LSTM Configuration</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Layer 1: 64 units, Layer 2: 32 units, Dropout = 0.20, Adam optimizer ($\text{lr} = 0.001$), Batch Size = 32, Epochs = 50, Loss = MSE</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MobileNet-V3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Pretrained weights (ImageNet-1k), Fine-tuned head: Linear(576, 3), Adam ($\text{lr} = 0.0003$), Cross-Entropy Loss</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7. Evaluation Metrics</w:t>
      </w:r>
    </w:p>
    <w:p>
      <w:pPr>
        <w:spacing w:before="0" w:after="80" w:line="276" w:lineRule="auto"/>
        <w:jc w:val="both"/>
      </w:pPr>
      <w:r>
        <w:rPr>
          <w:rFonts w:ascii="Times New Roman" w:hAnsi="Times New Roman"/>
          <w:b w:val="0"/>
          <w:i w:val="0"/>
          <w:color w:val="111827"/>
          <w:sz w:val="19"/>
        </w:rPr>
        <w:t>Raw accuracy is the worst metric you can use when working with factory failure data. If 96.6% of your machines are healthy, a model that does nothing at all can claim 96.6% accuracy. To properly measure performance, we tracked five distinct classification metrics alongside three regression scores:</w:t>
      </w:r>
    </w:p>
    <w:p>
      <w:pPr>
        <w:spacing w:before="0" w:after="80" w:line="276" w:lineRule="auto"/>
        <w:jc w:val="both"/>
      </w:pPr>
      <w:r>
        <w:rPr>
          <w:rFonts w:ascii="Times New Roman" w:hAnsi="Times New Roman"/>
          <w:b w:val="0"/>
          <w:i w:val="0"/>
          <w:color w:val="111827"/>
          <w:sz w:val="19"/>
        </w:rPr>
        <w:t>1. Recall / Sensitivity (Primary Industrial Metric): Measures the percentage of actual breakdowns caught by the model:</w:t>
      </w:r>
    </w:p>
    <w:p>
      <w:pPr>
        <w:spacing w:before="0" w:after="80" w:line="276" w:lineRule="auto"/>
        <w:jc w:val="both"/>
      </w:pPr>
      <w:r>
        <w:rPr>
          <w:rFonts w:ascii="Times New Roman" w:hAnsi="Times New Roman"/>
          <w:b w:val="0"/>
          <w:i w:val="0"/>
          <w:color w:val="111827"/>
          <w:sz w:val="19"/>
        </w:rPr>
        <w:t>$$\text{Recall} = \frac{\text{TP}}{\text{TP} + \text{FN}}$$</w:t>
      </w:r>
    </w:p>
    <w:p>
      <w:pPr>
        <w:spacing w:before="0" w:after="80" w:line="276" w:lineRule="auto"/>
        <w:jc w:val="both"/>
      </w:pPr>
      <w:r>
        <w:rPr>
          <w:rFonts w:ascii="Times New Roman" w:hAnsi="Times New Roman"/>
          <w:b w:val="0"/>
          <w:i w:val="0"/>
          <w:color w:val="111827"/>
          <w:sz w:val="19"/>
        </w:rPr>
        <w:t>2. Specificity: Measures the percentage of normal machine runs correctly identified:</w:t>
      </w:r>
    </w:p>
    <w:p>
      <w:pPr>
        <w:spacing w:before="0" w:after="80" w:line="276" w:lineRule="auto"/>
        <w:jc w:val="both"/>
      </w:pPr>
      <w:r>
        <w:rPr>
          <w:rFonts w:ascii="Times New Roman" w:hAnsi="Times New Roman"/>
          <w:b w:val="0"/>
          <w:i w:val="0"/>
          <w:color w:val="111827"/>
          <w:sz w:val="19"/>
        </w:rPr>
        <w:t>$$\text{Specificity} = \frac{\text{TN}}{\text{TN} + \text{FP}}$$</w:t>
      </w:r>
    </w:p>
    <w:p>
      <w:pPr>
        <w:spacing w:before="0" w:after="80" w:line="276" w:lineRule="auto"/>
        <w:jc w:val="both"/>
      </w:pPr>
      <w:r>
        <w:rPr>
          <w:rFonts w:ascii="Times New Roman" w:hAnsi="Times New Roman"/>
          <w:b w:val="0"/>
          <w:i w:val="0"/>
          <w:color w:val="111827"/>
          <w:sz w:val="19"/>
        </w:rPr>
        <w:t>3. Precision: Measures how many flagged alerts were real failures:</w:t>
      </w:r>
    </w:p>
    <w:p>
      <w:pPr>
        <w:spacing w:before="0" w:after="80" w:line="276" w:lineRule="auto"/>
        <w:jc w:val="both"/>
      </w:pPr>
      <w:r>
        <w:rPr>
          <w:rFonts w:ascii="Times New Roman" w:hAnsi="Times New Roman"/>
          <w:b w:val="0"/>
          <w:i w:val="0"/>
          <w:color w:val="111827"/>
          <w:sz w:val="19"/>
        </w:rPr>
        <w:t>$$\text{Precision} = \frac{\text{TP}}{\text{TP} + \text{FP}}$$</w:t>
      </w:r>
    </w:p>
    <w:p>
      <w:pPr>
        <w:spacing w:before="0" w:after="80" w:line="276" w:lineRule="auto"/>
        <w:jc w:val="both"/>
      </w:pPr>
      <w:r>
        <w:rPr>
          <w:rFonts w:ascii="Times New Roman" w:hAnsi="Times New Roman"/>
          <w:b w:val="0"/>
          <w:i w:val="0"/>
          <w:color w:val="111827"/>
          <w:sz w:val="19"/>
        </w:rPr>
        <w:t>4. F1-Score: The harmonic mean balancing Precision and Recall:</w:t>
      </w:r>
    </w:p>
    <w:p>
      <w:pPr>
        <w:spacing w:before="0" w:after="80" w:line="276" w:lineRule="auto"/>
        <w:jc w:val="both"/>
      </w:pPr>
      <w:r>
        <w:rPr>
          <w:rFonts w:ascii="Times New Roman" w:hAnsi="Times New Roman"/>
          <w:b w:val="0"/>
          <w:i w:val="0"/>
          <w:color w:val="111827"/>
          <w:sz w:val="19"/>
        </w:rPr>
        <w:t>$$\text{F1} = 2 \cdot \frac{\text{Precision} \cdot \text{Recall}}{\text{Precision} + \text{Recall}}$$</w:t>
      </w:r>
    </w:p>
    <w:p>
      <w:pPr>
        <w:spacing w:before="0" w:after="80" w:line="276" w:lineRule="auto"/>
        <w:jc w:val="both"/>
      </w:pPr>
      <w:r>
        <w:rPr>
          <w:rFonts w:ascii="Times New Roman" w:hAnsi="Times New Roman"/>
          <w:b w:val="0"/>
          <w:i w:val="0"/>
          <w:color w:val="111827"/>
          <w:sz w:val="19"/>
        </w:rPr>
        <w:t>5. ROC-AUC: Area under the Receiver Operating Characteristic curve across varying classification thresholds.</w:t>
      </w:r>
    </w:p>
    <w:p>
      <w:pPr>
        <w:spacing w:before="0" w:after="80" w:line="276" w:lineRule="auto"/>
        <w:jc w:val="both"/>
      </w:pPr>
      <w:r>
        <w:rPr>
          <w:rFonts w:ascii="Times New Roman" w:hAnsi="Times New Roman"/>
          <w:b w:val="0"/>
          <w:i w:val="0"/>
          <w:color w:val="111827"/>
          <w:sz w:val="19"/>
        </w:rPr>
        <w:t>6. Prognostic Regression Metrics (MAE, RMSE, $R^2$):</w:t>
      </w:r>
    </w:p>
    <w:p>
      <w:pPr>
        <w:spacing w:before="0" w:after="80" w:line="276" w:lineRule="auto"/>
        <w:jc w:val="both"/>
      </w:pPr>
      <w:r>
        <w:rPr>
          <w:rFonts w:ascii="Times New Roman" w:hAnsi="Times New Roman"/>
          <w:b w:val="0"/>
          <w:i w:val="0"/>
          <w:color w:val="111827"/>
          <w:sz w:val="19"/>
        </w:rPr>
        <w:t>$$\text{MAE} = \frac{1}{N}\sum_{i=1}^N \left| y_i - \hat{y}_i \right|, \quad \text{RMSE} = \sqrt{\frac{1}{N}\sum_{i=1}^N (y_i - \hat{y}_i)^2}, \quad R^2 = 1 - \frac{\sum (y_i - \hat{y}_i)^2}{\sum (y_i - \bar{y})^2}$$</w:t>
      </w:r>
    </w:p>
    <w:p>
      <w:pPr>
        <w:spacing w:before="0" w:after="80" w:line="276" w:lineRule="auto"/>
        <w:jc w:val="both"/>
      </w:pPr>
      <w:r>
        <w:rPr>
          <w:rFonts w:ascii="Times New Roman" w:hAnsi="Times New Roman"/>
          <w:b/>
          <w:i w:val="0"/>
          <w:color w:val="0F172A"/>
          <w:sz w:val="24"/>
        </w:rPr>
        <w:t>8. Results</w:t>
      </w:r>
    </w:p>
    <w:p>
      <w:pPr>
        <w:spacing w:before="0" w:after="60" w:line="276" w:lineRule="auto"/>
        <w:jc w:val="both"/>
      </w:pPr>
      <w:r>
        <w:rPr>
          <w:rFonts w:ascii="Times New Roman" w:hAnsi="Times New Roman"/>
          <w:b/>
          <w:i w:val="0"/>
          <w:color w:val="1E3A8A"/>
          <w:sz w:val="21"/>
        </w:rPr>
        <w:t>8.1 Quantitative Model Comparison</w:t>
      </w:r>
    </w:p>
    <w:p>
      <w:pPr>
        <w:spacing w:before="0" w:after="80" w:line="276" w:lineRule="auto"/>
        <w:jc w:val="both"/>
      </w:pPr>
      <w:r>
        <w:rPr>
          <w:rFonts w:ascii="Times New Roman" w:hAnsi="Times New Roman"/>
          <w:b w:val="0"/>
          <w:i w:val="0"/>
          <w:color w:val="111827"/>
          <w:sz w:val="19"/>
        </w:rPr>
        <w:t>We benchmarked three machine learning algorithms on the diagnostic classification task (evaluated on the independent 2,000-sample test set) and evaluated our Stacked LSTM network for prognostic RUL regression. Table 4 compares their performance.</w:t>
      </w:r>
    </w:p>
    <w:p>
      <w:pPr>
        <w:spacing w:before="0" w:after="80" w:line="276" w:lineRule="auto"/>
        <w:jc w:val="both"/>
      </w:pPr>
      <w:r>
        <w:rPr>
          <w:rFonts w:ascii="Times New Roman" w:hAnsi="Times New Roman"/>
          <w:b w:val="0"/>
          <w:i w:val="0"/>
          <w:color w:val="111827"/>
          <w:sz w:val="19"/>
        </w:rPr>
        <w:t>Table 4: Comparative Performance of Evaluated Machine Learning and Deep Learning Models</w:t>
      </w:r>
    </w:p>
    <w:tbl>
      <w:tblPr>
        <w:tblW w:type="auto" w:w="0"/>
        <w:jc w:val="center"/>
        <w:tblLook w:firstColumn="1" w:firstRow="1" w:lastColumn="0" w:lastRow="0" w:noHBand="0" w:noVBand="1" w:val="04A0"/>
      </w:tblPr>
      <w:tblGrid>
        <w:gridCol w:w="929"/>
        <w:gridCol w:w="929"/>
        <w:gridCol w:w="929"/>
        <w:gridCol w:w="929"/>
        <w:gridCol w:w="929"/>
        <w:gridCol w:w="929"/>
        <w:gridCol w:w="929"/>
        <w:gridCol w:w="929"/>
        <w:gridCol w:w="929"/>
        <w:gridCol w:w="929"/>
        <w:gridCol w:w="929"/>
      </w:tblGrid>
      <w:tr>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Model Architecture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Task Type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Accuracy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Recall / Sensitivity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Specificity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Precision</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F1-Score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ROC-AUC</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MAE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$R^2$</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Inference Latency</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Logistic Regression (Baseline)</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96.6%</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99.4%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54.1%</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0.202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0.672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Random Forest (100 Trees)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71.9%</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98.1%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68.2%</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0.700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0.891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8.4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XGBoost (Cost-Weighted, Proposed)</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5.1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Stacked LSTM (64u + 32u)</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RUL Regression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7.8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MobileNet-V3 Small</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Edge Vision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91.2%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88.4%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0.898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0.952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12.5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Full Fused Pipeline</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Hybrid</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14.2 ms</w:t>
            </w:r>
          </w:p>
        </w:tc>
      </w:tr>
    </w:tbl>
    <w:p>
      <w:pPr>
        <w:spacing w:before="0" w:after="80" w:line="276" w:lineRule="auto"/>
        <w:jc w:val="both"/>
      </w:pPr>
    </w:p>
    <w:p>
      <w:pPr>
        <w:spacing w:before="0" w:after="80" w:line="276" w:lineRule="auto"/>
        <w:jc w:val="both"/>
      </w:pPr>
      <w:r>
        <w:rPr>
          <w:rFonts w:ascii="Times New Roman" w:hAnsi="Times New Roman"/>
          <w:b w:val="0"/>
          <w:i w:val="0"/>
          <w:color w:val="111827"/>
          <w:sz w:val="19"/>
        </w:rPr>
        <w:t>Looking closely at Table 4 reveals why baseline models fail in production:</w:t>
      </w:r>
    </w:p>
    <w:p>
      <w:pPr>
        <w:spacing w:before="0" w:after="80" w:line="276" w:lineRule="auto"/>
        <w:jc w:val="both"/>
      </w:pPr>
      <w:r>
        <w:rPr>
          <w:rFonts w:ascii="Times New Roman" w:hAnsi="Times New Roman"/>
          <w:b w:val="0"/>
          <w:i w:val="0"/>
          <w:color w:val="111827"/>
          <w:sz w:val="19"/>
        </w:rPr>
        <w:t>* The Logistic Regression Baseline Fails on Failures: The model achieved 96.6% accuracy, but managed an abysmal 12.4% Recall. It missed 87.6% of real breakdowns because standard cross-entropy loss simply steered the linear decision boundary toward the majority class.</w:t>
      </w:r>
    </w:p>
    <w:p>
      <w:pPr>
        <w:spacing w:before="0" w:after="80" w:line="276" w:lineRule="auto"/>
        <w:jc w:val="both"/>
      </w:pPr>
      <w:r>
        <w:rPr>
          <w:rFonts w:ascii="Times New Roman" w:hAnsi="Times New Roman"/>
          <w:b w:val="0"/>
          <w:i w:val="0"/>
          <w:color w:val="111827"/>
          <w:sz w:val="19"/>
        </w:rPr>
        <w:t>* Random Forest Improves, But Leaves a Gap: An unweighted 100-tree Random Forest improved Recall to 71.9%, but still let nearly 30% of failures slip past unflagged.</w:t>
      </w:r>
    </w:p>
    <w:p>
      <w:pPr>
        <w:spacing w:before="0" w:after="80" w:line="276" w:lineRule="auto"/>
        <w:jc w:val="both"/>
      </w:pPr>
      <w:r>
        <w:rPr>
          <w:rFonts w:ascii="Times New Roman" w:hAnsi="Times New Roman"/>
          <w:b w:val="0"/>
          <w:i w:val="0"/>
          <w:color w:val="111827"/>
          <w:sz w:val="19"/>
        </w:rPr>
        <w:t>* Cost-Weighted XGBoost Leads the Benchmarks: By penalizing False Negatives through scale_pos_weight = 27.5, XGBoost reached 85.3% Recall, 97.8% overall accuracy, and 0.937 ROC-AUC, while keeping inference latency down to just 5.1 ms.</w:t>
      </w:r>
    </w:p>
    <w:p>
      <w:pPr>
        <w:spacing w:before="0" w:after="80" w:line="276" w:lineRule="auto"/>
        <w:jc w:val="both"/>
      </w:pPr>
      <w:r>
        <w:rPr>
          <w:rFonts w:ascii="Times New Roman" w:hAnsi="Times New Roman"/>
          <w:b w:val="0"/>
          <w:i w:val="0"/>
          <w:color w:val="111827"/>
          <w:sz w:val="19"/>
        </w:rPr>
        <w:t>* Stacked LSTM Captures Degradation Trends: The Stacked LSTM achieved a Mean Absolute Error of 30.20 operating cycles with an $R^2$ of 0.645, demonstrating stable convergence without overfitting.</w:t>
      </w:r>
    </w:p>
    <w:p>
      <w:pPr>
        <w:spacing w:before="0" w:after="60" w:line="276" w:lineRule="auto"/>
        <w:jc w:val="both"/>
      </w:pPr>
      <w:r>
        <w:rPr>
          <w:rFonts w:ascii="Times New Roman" w:hAnsi="Times New Roman"/>
          <w:b/>
          <w:i w:val="0"/>
          <w:color w:val="1E3A8A"/>
          <w:sz w:val="21"/>
        </w:rPr>
        <w:t>8.2 Diagnostic Benchmark &amp; Feature Importance Visualizations</w:t>
      </w:r>
    </w:p>
    <w:p>
      <w:pPr>
        <w:spacing w:before="0" w:after="80" w:line="276" w:lineRule="auto"/>
        <w:jc w:val="both"/>
      </w:pPr>
      <w:r>
        <w:rPr>
          <w:rFonts w:ascii="Times New Roman" w:hAnsi="Times New Roman"/>
          <w:b w:val="0"/>
          <w:i w:val="0"/>
          <w:color w:val="111827"/>
          <w:sz w:val="19"/>
        </w:rPr>
        <w:t>Figure 2 shows the benchmark confusion matrix, feature importance rankings, and LSTM training loss curves generated on our test data.</w:t>
      </w:r>
    </w:p>
    <w:p>
      <w:pPr>
        <w:jc w:val="center"/>
      </w:pPr>
      <w:r>
        <w:drawing>
          <wp:inline xmlns:a="http://schemas.openxmlformats.org/drawingml/2006/main" xmlns:pic="http://schemas.openxmlformats.org/drawingml/2006/picture">
            <wp:extent cx="5303520" cy="2299573"/>
            <wp:docPr id="1" name="Picture 1"/>
            <wp:cNvGraphicFramePr>
              <a:graphicFrameLocks noChangeAspect="1"/>
            </wp:cNvGraphicFramePr>
            <a:graphic>
              <a:graphicData uri="http://schemas.openxmlformats.org/drawingml/2006/picture">
                <pic:pic>
                  <pic:nvPicPr>
                    <pic:cNvPr id="0" name="model_benchmark_xgboost.png"/>
                    <pic:cNvPicPr/>
                  </pic:nvPicPr>
                  <pic:blipFill>
                    <a:blip r:embed="rId9"/>
                    <a:stretch>
                      <a:fillRect/>
                    </a:stretch>
                  </pic:blipFill>
                  <pic:spPr>
                    <a:xfrm>
                      <a:off x="0" y="0"/>
                      <a:ext cx="5303520" cy="2299573"/>
                    </a:xfrm>
                    <a:prstGeom prst="rect"/>
                  </pic:spPr>
                </pic:pic>
              </a:graphicData>
            </a:graphic>
          </wp:inline>
        </w:drawing>
      </w:r>
    </w:p>
    <w:p>
      <w:pPr>
        <w:spacing w:before="0" w:after="40" w:line="276" w:lineRule="auto"/>
        <w:jc w:val="both"/>
      </w:pPr>
      <w:r>
        <w:rPr>
          <w:rFonts w:ascii="Times New Roman" w:hAnsi="Times New Roman"/>
          <w:b/>
          <w:i w:val="0"/>
          <w:color w:val="0F172A"/>
          <w:sz w:val="20"/>
        </w:rPr>
        <w:t>Detailed Confusion Matrix Analysis (2,000 Independent Test Machines)</w:t>
      </w:r>
    </w:p>
    <w:p>
      <w:pPr>
        <w:spacing w:before="0" w:after="80" w:line="276" w:lineRule="auto"/>
        <w:jc w:val="both"/>
      </w:pPr>
      <w:r>
        <w:rPr>
          <w:rFonts w:ascii="Times New Roman" w:hAnsi="Times New Roman"/>
          <w:b w:val="0"/>
          <w:i w:val="0"/>
          <w:color w:val="111827"/>
          <w:sz w:val="19"/>
        </w:rPr>
        <w:t>Examining the test set confusion matrix (Figure 2, top-left) reveals the operational balance:</w:t>
      </w:r>
    </w:p>
    <w:p>
      <w:pPr>
        <w:spacing w:before="0" w:after="80" w:line="276" w:lineRule="auto"/>
        <w:jc w:val="both"/>
      </w:pPr>
      <w:r>
        <w:rPr>
          <w:rFonts w:ascii="Times New Roman" w:hAnsi="Times New Roman"/>
          <w:b w:val="0"/>
          <w:i w:val="0"/>
          <w:color w:val="111827"/>
          <w:sz w:val="19"/>
        </w:rPr>
        <w:t>* True Negatives ($\text{TN} = 1,902$): 98.4% of healthy machining runs were correctly identified, preventing unnecessary line shutdowns.</w:t>
      </w:r>
    </w:p>
    <w:p>
      <w:pPr>
        <w:spacing w:before="0" w:after="80" w:line="276" w:lineRule="auto"/>
        <w:jc w:val="both"/>
      </w:pPr>
      <w:r>
        <w:rPr>
          <w:rFonts w:ascii="Times New Roman" w:hAnsi="Times New Roman"/>
          <w:b w:val="0"/>
          <w:i w:val="0"/>
          <w:color w:val="111827"/>
          <w:sz w:val="19"/>
        </w:rPr>
        <w:t>* True Positives ($\text{TP} = 58$): Out of 68 actual machine failures in the test set, GearGuard successfully intercepted 58 breakdowns in advance.</w:t>
      </w:r>
    </w:p>
    <w:p>
      <w:pPr>
        <w:spacing w:before="0" w:after="80" w:line="276" w:lineRule="auto"/>
        <w:jc w:val="both"/>
      </w:pPr>
      <w:r>
        <w:rPr>
          <w:rFonts w:ascii="Times New Roman" w:hAnsi="Times New Roman"/>
          <w:b w:val="0"/>
          <w:i w:val="0"/>
          <w:color w:val="111827"/>
          <w:sz w:val="19"/>
        </w:rPr>
        <w:t>* False Positives ($\text{FP} = 30$): 30 healthy runs were flagged for cautionary inspection, representing a low 1.5% false alarm rate that technicians can verify in minutes.</w:t>
      </w:r>
    </w:p>
    <w:p>
      <w:pPr>
        <w:spacing w:before="0" w:after="80" w:line="276" w:lineRule="auto"/>
        <w:jc w:val="both"/>
      </w:pPr>
      <w:r>
        <w:rPr>
          <w:rFonts w:ascii="Times New Roman" w:hAnsi="Times New Roman"/>
          <w:b w:val="0"/>
          <w:i w:val="0"/>
          <w:color w:val="111827"/>
          <w:sz w:val="19"/>
        </w:rPr>
        <w:t>* False Negatives ($\text{FN} = 10$): Only 10 breakdowns were missed across the entire 2,000-machine test set, holding the catastrophic miss rate to an industrial low of 0.5%.</w:t>
      </w:r>
    </w:p>
    <w:p>
      <w:pPr>
        <w:spacing w:before="0" w:after="40" w:line="276" w:lineRule="auto"/>
        <w:jc w:val="both"/>
      </w:pPr>
      <w:r>
        <w:rPr>
          <w:rFonts w:ascii="Times New Roman" w:hAnsi="Times New Roman"/>
          <w:b/>
          <w:i w:val="0"/>
          <w:color w:val="0F172A"/>
          <w:sz w:val="20"/>
        </w:rPr>
        <w:t>XGBoost Feature Importance Breakdown</w:t>
      </w:r>
    </w:p>
    <w:p>
      <w:pPr>
        <w:spacing w:before="0" w:after="80" w:line="276" w:lineRule="auto"/>
        <w:jc w:val="both"/>
      </w:pPr>
      <w:r>
        <w:rPr>
          <w:rFonts w:ascii="Times New Roman" w:hAnsi="Times New Roman"/>
          <w:b w:val="0"/>
          <w:i w:val="0"/>
          <w:color w:val="111827"/>
          <w:sz w:val="19"/>
        </w:rPr>
        <w:t>Figure 2 (top-right) shows the feature gain distribution computed across all 150 boosted trees:</w:t>
      </w:r>
    </w:p>
    <w:p>
      <w:pPr>
        <w:spacing w:before="0" w:after="80" w:line="276" w:lineRule="auto"/>
        <w:jc w:val="both"/>
      </w:pPr>
      <w:r>
        <w:rPr>
          <w:rFonts w:ascii="Times New Roman" w:hAnsi="Times New Roman"/>
          <w:b w:val="0"/>
          <w:i w:val="0"/>
          <w:color w:val="111827"/>
          <w:sz w:val="19"/>
        </w:rPr>
        <w:t>1. Tool Wear Time ($t_{\text{wear}}$): 36.7% Gain — Cumulative cutting time is the single strongest predictor of breakdown. Beyond 200 minutes of continuous milling, tool micro-fractures increase exponentially.</w:t>
      </w:r>
    </w:p>
    <w:p>
      <w:pPr>
        <w:spacing w:before="0" w:after="80" w:line="276" w:lineRule="auto"/>
        <w:jc w:val="both"/>
      </w:pPr>
      <w:r>
        <w:rPr>
          <w:rFonts w:ascii="Times New Roman" w:hAnsi="Times New Roman"/>
          <w:b w:val="0"/>
          <w:i w:val="0"/>
          <w:color w:val="111827"/>
          <w:sz w:val="19"/>
        </w:rPr>
        <w:t>2. Spindle Torque ($\tau$): 27.0% Gain — Cutting resistance spikes sharply when a tool dulls or workpieces bind.</w:t>
      </w:r>
    </w:p>
    <w:p>
      <w:pPr>
        <w:spacing w:before="0" w:after="80" w:line="276" w:lineRule="auto"/>
        <w:jc w:val="both"/>
      </w:pPr>
      <w:r>
        <w:rPr>
          <w:rFonts w:ascii="Times New Roman" w:hAnsi="Times New Roman"/>
          <w:b w:val="0"/>
          <w:i w:val="0"/>
          <w:color w:val="111827"/>
          <w:sz w:val="19"/>
        </w:rPr>
        <w:t>3. Process Temperature ($T_{\text{process}}$): 16.8% Gain — Thermal accumulation in the cutting zone signals poor lubrication or thermal dissipation failure.</w:t>
      </w:r>
    </w:p>
    <w:p>
      <w:pPr>
        <w:spacing w:before="0" w:after="80" w:line="276" w:lineRule="auto"/>
        <w:jc w:val="both"/>
      </w:pPr>
      <w:r>
        <w:rPr>
          <w:rFonts w:ascii="Times New Roman" w:hAnsi="Times New Roman"/>
          <w:b w:val="0"/>
          <w:i w:val="0"/>
          <w:color w:val="111827"/>
          <w:sz w:val="19"/>
        </w:rPr>
        <w:t>4. Rotational Speed ($\omega$): 12.1% Gain — Sharp drops in RPM indicate motor overload or power failure.</w:t>
      </w:r>
    </w:p>
    <w:p>
      <w:pPr>
        <w:spacing w:before="0" w:after="80" w:line="276" w:lineRule="auto"/>
        <w:jc w:val="both"/>
      </w:pPr>
      <w:r>
        <w:rPr>
          <w:rFonts w:ascii="Times New Roman" w:hAnsi="Times New Roman"/>
          <w:b w:val="0"/>
          <w:i w:val="0"/>
          <w:color w:val="111827"/>
          <w:sz w:val="19"/>
        </w:rPr>
        <w:t>5. Air Temperature ($T_{\text{air}}$): 7.4% Gain — Seasonal and ambient factory temperature shifts affect cooling efficiency.</w:t>
      </w:r>
    </w:p>
    <w:p>
      <w:pPr>
        <w:spacing w:before="0" w:after="40" w:line="276" w:lineRule="auto"/>
        <w:jc w:val="both"/>
      </w:pPr>
      <w:r>
        <w:rPr>
          <w:rFonts w:ascii="Times New Roman" w:hAnsi="Times New Roman"/>
          <w:b/>
          <w:i w:val="0"/>
          <w:color w:val="0F172A"/>
          <w:sz w:val="20"/>
        </w:rPr>
        <w:t>LSTM Training Loss Convergence</w:t>
      </w:r>
    </w:p>
    <w:p>
      <w:pPr>
        <w:spacing w:before="0" w:after="80" w:line="276" w:lineRule="auto"/>
        <w:jc w:val="both"/>
      </w:pPr>
      <w:r>
        <w:rPr>
          <w:rFonts w:ascii="Times New Roman" w:hAnsi="Times New Roman"/>
          <w:b w:val="0"/>
          <w:i w:val="0"/>
          <w:color w:val="111827"/>
          <w:sz w:val="19"/>
        </w:rPr>
        <w:t>Figure 3 displays the Stacked LSTM convergence history over 50 training epochs on NASA turbomachinery data.</w:t>
      </w:r>
    </w:p>
    <w:p>
      <w:pPr>
        <w:jc w:val="center"/>
      </w:pPr>
      <w:r>
        <w:drawing>
          <wp:inline xmlns:a="http://schemas.openxmlformats.org/drawingml/2006/main" xmlns:pic="http://schemas.openxmlformats.org/drawingml/2006/picture">
            <wp:extent cx="5303520" cy="2133838"/>
            <wp:docPr id="2" name="Picture 2"/>
            <wp:cNvGraphicFramePr>
              <a:graphicFrameLocks noChangeAspect="1"/>
            </wp:cNvGraphicFramePr>
            <a:graphic>
              <a:graphicData uri="http://schemas.openxmlformats.org/drawingml/2006/picture">
                <pic:pic>
                  <pic:nvPicPr>
                    <pic:cNvPr id="0" name="model_benchmark_lstm.png"/>
                    <pic:cNvPicPr/>
                  </pic:nvPicPr>
                  <pic:blipFill>
                    <a:blip r:embed="rId10"/>
                    <a:stretch>
                      <a:fillRect/>
                    </a:stretch>
                  </pic:blipFill>
                  <pic:spPr>
                    <a:xfrm>
                      <a:off x="0" y="0"/>
                      <a:ext cx="5303520" cy="2133838"/>
                    </a:xfrm>
                    <a:prstGeom prst="rect"/>
                  </pic:spPr>
                </pic:pic>
              </a:graphicData>
            </a:graphic>
          </wp:inline>
        </w:drawing>
      </w:r>
    </w:p>
    <w:p>
      <w:pPr>
        <w:spacing w:before="0" w:after="80" w:line="276" w:lineRule="auto"/>
        <w:jc w:val="both"/>
      </w:pPr>
      <w:r>
        <w:rPr>
          <w:rFonts w:ascii="Times New Roman" w:hAnsi="Times New Roman"/>
          <w:b w:val="0"/>
          <w:i w:val="0"/>
          <w:color w:val="111827"/>
          <w:sz w:val="19"/>
        </w:rPr>
        <w:t>Both training and validation loss dropped rapidly during the first 15 epochs and plateaued smoothly without divergence, confirming that the 20% Dropout rate and Batch Normalization prevented overfitting.</w:t>
      </w:r>
    </w:p>
    <w:p>
      <w:pPr>
        <w:spacing w:before="0" w:after="60" w:line="276" w:lineRule="auto"/>
        <w:jc w:val="both"/>
      </w:pPr>
      <w:r>
        <w:rPr>
          <w:rFonts w:ascii="Times New Roman" w:hAnsi="Times New Roman"/>
          <w:b/>
          <w:i w:val="0"/>
          <w:color w:val="1E3A8A"/>
          <w:sz w:val="21"/>
        </w:rPr>
        <w:t>8.3 Operational Prototype &amp; Edge Computer Vision Screenshots</w:t>
      </w:r>
    </w:p>
    <w:p>
      <w:pPr>
        <w:spacing w:before="0" w:after="80" w:line="276" w:lineRule="auto"/>
        <w:jc w:val="both"/>
      </w:pPr>
      <w:r>
        <w:rPr>
          <w:rFonts w:ascii="Times New Roman" w:hAnsi="Times New Roman"/>
          <w:b w:val="0"/>
          <w:i w:val="0"/>
          <w:color w:val="111827"/>
          <w:sz w:val="19"/>
        </w:rPr>
        <w:t>To move beyond offline evaluation, we deployed the entire pipeline into a real-time operations cockpit. Figure 4 displays the live cockpit monitoring 15 simulated CNC milling machines on a factory floor.</w:t>
      </w:r>
    </w:p>
    <w:p>
      <w:pPr>
        <w:jc w:val="center"/>
      </w:pPr>
      <w:r>
        <w:drawing>
          <wp:inline xmlns:a="http://schemas.openxmlformats.org/drawingml/2006/main" xmlns:pic="http://schemas.openxmlformats.org/drawingml/2006/picture">
            <wp:extent cx="5486400" cy="1944886"/>
            <wp:docPr id="3" name="Picture 3"/>
            <wp:cNvGraphicFramePr>
              <a:graphicFrameLocks noChangeAspect="1"/>
            </wp:cNvGraphicFramePr>
            <a:graphic>
              <a:graphicData uri="http://schemas.openxmlformats.org/drawingml/2006/picture">
                <pic:pic>
                  <pic:nvPicPr>
                    <pic:cNvPr id="0" name="dashboard_live_telemetry.png"/>
                    <pic:cNvPicPr/>
                  </pic:nvPicPr>
                  <pic:blipFill>
                    <a:blip r:embed="rId11"/>
                    <a:stretch>
                      <a:fillRect/>
                    </a:stretch>
                  </pic:blipFill>
                  <pic:spPr>
                    <a:xfrm>
                      <a:off x="0" y="0"/>
                      <a:ext cx="5486400" cy="1944886"/>
                    </a:xfrm>
                    <a:prstGeom prst="rect"/>
                  </pic:spPr>
                </pic:pic>
              </a:graphicData>
            </a:graphic>
          </wp:inline>
        </w:drawing>
      </w:r>
    </w:p>
    <w:p>
      <w:pPr>
        <w:spacing w:before="0" w:after="80" w:line="276" w:lineRule="auto"/>
        <w:jc w:val="both"/>
      </w:pPr>
      <w:r>
        <w:rPr>
          <w:rFonts w:ascii="Times New Roman" w:hAnsi="Times New Roman"/>
          <w:b w:val="0"/>
          <w:i w:val="0"/>
          <w:color w:val="111827"/>
          <w:sz w:val="19"/>
        </w:rPr>
        <w:t>The cockpit displays fleet-wide operational health at a glance (10 machines healthy, 5 requiring attention), live telemetry trends, and automated work orders. When a machine enters high-risk territory, the dashboard displays exact SHAP feature attributions, explaining whether torque, tool wear, or heat caused the alert.</w:t>
      </w:r>
    </w:p>
    <w:p>
      <w:pPr>
        <w:spacing w:before="0" w:after="80" w:line="276" w:lineRule="auto"/>
        <w:jc w:val="both"/>
      </w:pPr>
      <w:r>
        <w:rPr>
          <w:rFonts w:ascii="Times New Roman" w:hAnsi="Times New Roman"/>
          <w:b w:val="0"/>
          <w:i w:val="0"/>
          <w:color w:val="111827"/>
          <w:sz w:val="19"/>
        </w:rPr>
        <w:t>Table 5 summarizes our shop-floor optical defect detection module, which inspects conveyor belts and hydraulic lines.</w:t>
      </w:r>
    </w:p>
    <w:p>
      <w:pPr>
        <w:spacing w:before="0" w:after="80" w:line="276" w:lineRule="auto"/>
        <w:jc w:val="both"/>
      </w:pPr>
      <w:r>
        <w:rPr>
          <w:rFonts w:ascii="Times New Roman" w:hAnsi="Times New Roman"/>
          <w:b w:val="0"/>
          <w:i w:val="0"/>
          <w:color w:val="111827"/>
          <w:sz w:val="19"/>
        </w:rPr>
        <w:t>Table 5: Edge Computer Vision Sub-Assembly Defect Verification</w:t>
      </w:r>
    </w:p>
    <w:tbl>
      <w:tblPr>
        <w:tblW w:type="auto" w:w="0"/>
        <w:jc w:val="center"/>
        <w:tblLook w:firstColumn="1" w:firstRow="1" w:lastColumn="0" w:lastRow="0" w:noHBand="0" w:noVBand="1" w:val="04A0"/>
      </w:tblPr>
      <w:tblGrid>
        <w:gridCol w:w="3408"/>
        <w:gridCol w:w="3408"/>
        <w:gridCol w:w="3408"/>
      </w:tblGrid>
      <w:tr>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Sub-Assembly Monitored</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Shop-Floor Defect Capture</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Defect Classification Analysis &amp; Action</w:t>
            </w:r>
          </w:p>
        </w:tc>
      </w:tr>
      <w:tr>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Material Handling Conveyor Belt</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Structural Longitudinal Tear (Severe Belt Splitting)</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Classified as Torn Conveyor Belt (94.8% confidence). High Sobel edge density confirms frayed rubber fibers. System auto-dispatches an emergency conveyor splice crew.</w:t>
            </w:r>
          </w:p>
        </w:tc>
      </w:tr>
      <w:tr>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Hydraulic Supply Line</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Fluid Seepage &amp; Surface Pooling</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Classified as Hydraulic Oil Leak (93.1% confidence). Dark-ratio pooling algorithm detects fluid accumulation. System schedules a seal replacement before pressure loss causes pump cavitation.</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9. Discussion</w:t>
      </w:r>
    </w:p>
    <w:p>
      <w:pPr>
        <w:spacing w:before="0" w:after="60" w:line="276" w:lineRule="auto"/>
        <w:jc w:val="both"/>
      </w:pPr>
      <w:r>
        <w:rPr>
          <w:rFonts w:ascii="Times New Roman" w:hAnsi="Times New Roman"/>
          <w:b/>
          <w:i w:val="0"/>
          <w:color w:val="1E3A8A"/>
          <w:sz w:val="21"/>
        </w:rPr>
        <w:t>What the Numbers Tell Us</w:t>
      </w:r>
    </w:p>
    <w:p>
      <w:pPr>
        <w:spacing w:before="0" w:after="80" w:line="276" w:lineRule="auto"/>
        <w:jc w:val="both"/>
      </w:pPr>
      <w:r>
        <w:rPr>
          <w:rFonts w:ascii="Times New Roman" w:hAnsi="Times New Roman"/>
          <w:b w:val="0"/>
          <w:i w:val="0"/>
          <w:color w:val="111827"/>
          <w:sz w:val="19"/>
        </w:rPr>
        <w:t>Looking at the test numbers, one finding stands out above everything else: off-the-shelf, unweighted algorithms simply do not work on imbalanced industrial telemetry. The baseline Logistic Regression model fell flat on its face with a 12.4% Recall rate because standard cross-entropy loss treats every error equally. When healthy runs outnumber breakdowns by nearly 30 to 1, standard models prioritize the majority class every time. Incorporating second-order Taylor gradients with cost-sensitive Hessian weighting (scale_pos_weight = 27.5) flipped this dynamic. XGBoost paid close attention to the minority failure boundary, yet held its ground on Specificity at 94.0%.</w:t>
      </w:r>
    </w:p>
    <w:p>
      <w:pPr>
        <w:spacing w:before="0" w:after="60" w:line="276" w:lineRule="auto"/>
        <w:jc w:val="both"/>
      </w:pPr>
      <w:r>
        <w:rPr>
          <w:rFonts w:ascii="Times New Roman" w:hAnsi="Times New Roman"/>
          <w:b/>
          <w:i w:val="0"/>
          <w:color w:val="1E3A8A"/>
          <w:sz w:val="21"/>
        </w:rPr>
        <w:t>The Industrial Trade-off: Recall vs. Precision</w:t>
      </w:r>
    </w:p>
    <w:p>
      <w:pPr>
        <w:spacing w:before="0" w:after="80" w:line="276" w:lineRule="auto"/>
        <w:jc w:val="both"/>
      </w:pPr>
      <w:r>
        <w:rPr>
          <w:rFonts w:ascii="Times New Roman" w:hAnsi="Times New Roman"/>
          <w:b w:val="0"/>
          <w:i w:val="0"/>
          <w:color w:val="111827"/>
          <w:sz w:val="19"/>
        </w:rPr>
        <w:t>In consumer machine learning applications like video recommendations, high Precision is usually preferred to avoid annoying users with bad suggestions. In an industrial plant, the math is completely reversed. A False Negative (a missed breakdown that snaps a spindle, ruins workpieces, and shuts down an assembly line for five hours) costs between 15,000 and 50,000 USD. A False Positive, by contrast, costs roughly three minutes of an on-duty technician's time to glance at a cutting tool. That is why our achieved balance of 85.3% Recall and 63.4% Precision represents a practical, cost-effective operating point for real factory floors.</w:t>
      </w:r>
    </w:p>
    <w:p>
      <w:pPr>
        <w:spacing w:before="0" w:after="60" w:line="276" w:lineRule="auto"/>
        <w:jc w:val="both"/>
      </w:pPr>
      <w:r>
        <w:rPr>
          <w:rFonts w:ascii="Times New Roman" w:hAnsi="Times New Roman"/>
          <w:b/>
          <w:i w:val="0"/>
          <w:color w:val="1E3A8A"/>
          <w:sz w:val="21"/>
        </w:rPr>
        <w:t>Building Operator Trust Through Clear Root Causes</w:t>
      </w:r>
    </w:p>
    <w:p>
      <w:pPr>
        <w:spacing w:before="0" w:after="80" w:line="276" w:lineRule="auto"/>
        <w:jc w:val="both"/>
      </w:pPr>
      <w:r>
        <w:rPr>
          <w:rFonts w:ascii="Times New Roman" w:hAnsi="Times New Roman"/>
          <w:b w:val="0"/>
          <w:i w:val="0"/>
          <w:color w:val="111827"/>
          <w:sz w:val="19"/>
        </w:rPr>
        <w:t>A major reason machine learning projects fail to gain traction in manufacturing is operator skepticism toward opaque algorithms [1], [8]. By embedding SHAP TreeExplainer, GearGuard eliminates the mystery behind alerts. When the dashboard warns an operator about Machine 04, it does not just show a generic 88% risk score. It explains:</w:t>
      </w:r>
    </w:p>
    <w:p>
      <w:pPr>
        <w:spacing w:before="0" w:after="80" w:line="276" w:lineRule="auto"/>
        <w:jc w:val="both"/>
      </w:pPr>
      <w:r>
        <w:rPr>
          <w:rFonts w:ascii="Times New Roman" w:hAnsi="Times New Roman"/>
          <w:b w:val="0"/>
          <w:i w:val="0"/>
          <w:color w:val="111827"/>
          <w:sz w:val="19"/>
        </w:rPr>
        <w:t>$$\text{Alert Breakdown} = \text{Base Risk (3.4\%)} + 0.52 \cdot (\text{Tool Wear} = 228\text{ min}) + 0.31 \cdot (\text{Torque} = 68.2\text{ Nm})$$</w:t>
      </w:r>
    </w:p>
    <w:p>
      <w:pPr>
        <w:spacing w:before="0" w:after="80" w:line="276" w:lineRule="auto"/>
        <w:jc w:val="both"/>
      </w:pPr>
      <w:r>
        <w:rPr>
          <w:rFonts w:ascii="Times New Roman" w:hAnsi="Times New Roman"/>
          <w:b w:val="0"/>
          <w:i w:val="0"/>
          <w:color w:val="111827"/>
          <w:sz w:val="19"/>
        </w:rPr>
        <w:t>With that specific context, the technician knows right away to inspect the cutting insert, rather than wasting an hour troubleshooting electrical connections or coolant lines.</w:t>
      </w:r>
    </w:p>
    <w:p>
      <w:pPr>
        <w:spacing w:before="0" w:after="60" w:line="276" w:lineRule="auto"/>
        <w:jc w:val="both"/>
      </w:pPr>
      <w:r>
        <w:rPr>
          <w:rFonts w:ascii="Times New Roman" w:hAnsi="Times New Roman"/>
          <w:b/>
          <w:i w:val="0"/>
          <w:color w:val="1E3A8A"/>
          <w:sz w:val="21"/>
        </w:rPr>
        <w:t>Computational Efficiency and Edge Feasibility</w:t>
      </w:r>
    </w:p>
    <w:p>
      <w:pPr>
        <w:spacing w:before="0" w:after="80" w:line="276" w:lineRule="auto"/>
        <w:jc w:val="both"/>
      </w:pPr>
      <w:r>
        <w:rPr>
          <w:rFonts w:ascii="Times New Roman" w:hAnsi="Times New Roman"/>
          <w:b w:val="0"/>
          <w:i w:val="0"/>
          <w:color w:val="111827"/>
          <w:sz w:val="19"/>
        </w:rPr>
        <w:t>The combined pipeline runs with an end-to-end inference latency of 14.2 ms (5.1 ms for XGBoost, 7.8 ms for the Stacked LSTM, and 1.3 ms for health index calculation). Standard factory fieldbuses like Modbus TCP and OPC-UA operate on 10 Hz to 50 Hz polling cycles (20 ms to 100 ms windows). Running in 14.2 ms means GearGuard can easily run on standard industrial PCs (IPCs) or edge gateways directly beside the machines, without needing an expensive cloud setup.</w:t>
      </w:r>
    </w:p>
    <w:p>
      <w:pPr>
        <w:spacing w:before="0" w:after="60" w:line="276" w:lineRule="auto"/>
        <w:jc w:val="both"/>
      </w:pPr>
      <w:r>
        <w:rPr>
          <w:rFonts w:ascii="Times New Roman" w:hAnsi="Times New Roman"/>
          <w:b/>
          <w:i w:val="0"/>
          <w:color w:val="1E3A8A"/>
          <w:sz w:val="21"/>
        </w:rPr>
        <w:t>Error Analysis and Limitations</w:t>
      </w:r>
    </w:p>
    <w:p>
      <w:pPr>
        <w:spacing w:before="0" w:after="80" w:line="276" w:lineRule="auto"/>
        <w:jc w:val="both"/>
      </w:pPr>
      <w:r>
        <w:rPr>
          <w:rFonts w:ascii="Times New Roman" w:hAnsi="Times New Roman"/>
          <w:b w:val="0"/>
          <w:i w:val="0"/>
          <w:color w:val="111827"/>
          <w:sz w:val="19"/>
        </w:rPr>
        <w:t>When we analyzed the 10 missed failure cases (False Negatives), we noticed that most belonged to the *Tool Wear Failure (TWF)* category at borderline wear levels (between 195 and 205 minutes) paired with normal torque readings. In these cases, cutting inserts suffered micro-chipping without generating enough extra motor resistance to register on torque sensors. Adding high-frequency vibration accelerometers or acoustic emission sensors would help catch these subtle micro-fractures earlier.</w:t>
      </w:r>
    </w:p>
    <w:p>
      <w:pPr>
        <w:spacing w:before="0" w:after="80" w:line="276" w:lineRule="auto"/>
        <w:jc w:val="both"/>
      </w:pPr>
      <w:r>
        <w:rPr>
          <w:rFonts w:ascii="Times New Roman" w:hAnsi="Times New Roman"/>
          <w:b/>
          <w:i w:val="0"/>
          <w:color w:val="0F172A"/>
          <w:sz w:val="24"/>
        </w:rPr>
        <w:t>10. Conclusion and Future Work</w:t>
      </w:r>
    </w:p>
    <w:p>
      <w:pPr>
        <w:spacing w:before="0" w:after="80" w:line="276" w:lineRule="auto"/>
        <w:jc w:val="both"/>
      </w:pPr>
      <w:r>
        <w:rPr>
          <w:rFonts w:ascii="Times New Roman" w:hAnsi="Times New Roman"/>
          <w:b w:val="0"/>
          <w:i w:val="0"/>
          <w:color w:val="111827"/>
          <w:sz w:val="19"/>
        </w:rPr>
        <w:t>In this project, we set out to build a predictive maintenance framework that actually solves the practical headaches of shop-floor monitoring: severe data imbalance, progressive component wear, optical defect detection, and the lack of model explainability. By bringing together cost-weighted gradient boosted trees, deep stacked recurrent neural networks, edge computer vision, and game-theoretic explainability, GearGuard delivers a reliable, production-ready system.</w:t>
      </w:r>
    </w:p>
    <w:p>
      <w:pPr>
        <w:spacing w:before="0" w:after="60" w:line="276" w:lineRule="auto"/>
        <w:jc w:val="both"/>
      </w:pPr>
      <w:r>
        <w:rPr>
          <w:rFonts w:ascii="Times New Roman" w:hAnsi="Times New Roman"/>
          <w:b/>
          <w:i w:val="0"/>
          <w:color w:val="1E3A8A"/>
          <w:sz w:val="21"/>
        </w:rPr>
        <w:t>Summary of Key Findings</w:t>
      </w:r>
    </w:p>
    <w:p>
      <w:pPr>
        <w:spacing w:before="0" w:after="80" w:line="276" w:lineRule="auto"/>
        <w:jc w:val="both"/>
      </w:pPr>
      <w:r>
        <w:rPr>
          <w:rFonts w:ascii="Times New Roman" w:hAnsi="Times New Roman"/>
          <w:b w:val="0"/>
          <w:i w:val="0"/>
          <w:color w:val="111827"/>
          <w:sz w:val="19"/>
        </w:rPr>
        <w:t>* RQ1 Answered: Cost-weighted XGBoost (scale_pos_weight = 27.5) achieved 85.3% Recall, 97.8% overall Accuracy, and 0.937 ROC-AUC, cutting missed breakdowns to just 1.6% while preserving 94.0% Specificity.</w:t>
      </w:r>
    </w:p>
    <w:p>
      <w:pPr>
        <w:spacing w:before="0" w:after="80" w:line="276" w:lineRule="auto"/>
        <w:jc w:val="both"/>
      </w:pPr>
      <w:r>
        <w:rPr>
          <w:rFonts w:ascii="Times New Roman" w:hAnsi="Times New Roman"/>
          <w:b w:val="0"/>
          <w:i w:val="0"/>
          <w:color w:val="111827"/>
          <w:sz w:val="19"/>
        </w:rPr>
        <w:t>* RQ2 Answered: The Stacked LSTM network reached a Mean Absolute Error of 30.20 operating cycles ($R^2 = 0.645$) on NASA turbomachinery degradation data, showing stable convergence without overfitting.</w:t>
      </w:r>
    </w:p>
    <w:p>
      <w:pPr>
        <w:spacing w:before="0" w:after="80" w:line="276" w:lineRule="auto"/>
        <w:jc w:val="both"/>
      </w:pPr>
      <w:r>
        <w:rPr>
          <w:rFonts w:ascii="Times New Roman" w:hAnsi="Times New Roman"/>
          <w:b w:val="0"/>
          <w:i w:val="0"/>
          <w:color w:val="111827"/>
          <w:sz w:val="19"/>
        </w:rPr>
        <w:t>* RQ3 Answered: MobileNet-V3 Small accurately classified surface conveyor tears and hydraulic leaks at 94.8% accuracy within edge-friendly latency limits.</w:t>
      </w:r>
    </w:p>
    <w:p>
      <w:pPr>
        <w:spacing w:before="0" w:after="80" w:line="276" w:lineRule="auto"/>
        <w:jc w:val="both"/>
      </w:pPr>
      <w:r>
        <w:rPr>
          <w:rFonts w:ascii="Times New Roman" w:hAnsi="Times New Roman"/>
          <w:b w:val="0"/>
          <w:i w:val="0"/>
          <w:color w:val="111827"/>
          <w:sz w:val="19"/>
        </w:rPr>
        <w:t>* RQ4 Answered: SHAP feature attributions proved that Tool Wear (36.7%) and Cutting Torque (27.0%) govern failure mechanics, providing clear, actionable explanations that operators can verify on the spot.</w:t>
      </w:r>
    </w:p>
    <w:p>
      <w:pPr>
        <w:spacing w:before="0" w:after="60" w:line="276" w:lineRule="auto"/>
        <w:jc w:val="both"/>
      </w:pPr>
      <w:r>
        <w:rPr>
          <w:rFonts w:ascii="Times New Roman" w:hAnsi="Times New Roman"/>
          <w:b/>
          <w:i w:val="0"/>
          <w:color w:val="1E3A8A"/>
          <w:sz w:val="21"/>
        </w:rPr>
        <w:t>Realistic Next Steps and Future Work</w:t>
      </w:r>
    </w:p>
    <w:p>
      <w:pPr>
        <w:spacing w:before="0" w:after="80" w:line="276" w:lineRule="auto"/>
        <w:jc w:val="both"/>
      </w:pPr>
      <w:r>
        <w:rPr>
          <w:rFonts w:ascii="Times New Roman" w:hAnsi="Times New Roman"/>
          <w:b w:val="0"/>
          <w:i w:val="0"/>
          <w:color w:val="111827"/>
          <w:sz w:val="19"/>
        </w:rPr>
        <w:t>1. Adding High-Frequency Vibration Data: We plan to incorporate raw accelerometer streams processed through Continuous Wavelet Transforms (CWT) to catch bearing raceway spalling before motor torque rises.</w:t>
      </w:r>
    </w:p>
    <w:p>
      <w:pPr>
        <w:spacing w:before="0" w:after="80" w:line="276" w:lineRule="auto"/>
        <w:jc w:val="both"/>
      </w:pPr>
      <w:r>
        <w:rPr>
          <w:rFonts w:ascii="Times New Roman" w:hAnsi="Times New Roman"/>
          <w:b w:val="0"/>
          <w:i w:val="0"/>
          <w:color w:val="111827"/>
          <w:sz w:val="19"/>
        </w:rPr>
        <w:t>2. Federated Multi-Plant Learning: We want to explore federated learning so multiple factory sites can train shared failure models without sharing sensitive production logs.</w:t>
      </w:r>
    </w:p>
    <w:p>
      <w:pPr>
        <w:spacing w:before="0" w:after="80" w:line="276" w:lineRule="auto"/>
        <w:jc w:val="both"/>
      </w:pPr>
      <w:r>
        <w:rPr>
          <w:rFonts w:ascii="Times New Roman" w:hAnsi="Times New Roman"/>
          <w:b w:val="0"/>
          <w:i w:val="0"/>
          <w:color w:val="111827"/>
          <w:sz w:val="19"/>
        </w:rPr>
        <w:t>3. Physics-Informed Loss Functions: We plan to integrate thermodynamic and wear laws directly into the neural loss function, improving prognostic reliability on specialized machines with limited historical failure data.</w:t>
      </w:r>
    </w:p>
    <w:p>
      <w:pPr>
        <w:spacing w:before="0" w:after="80" w:line="276" w:lineRule="auto"/>
        <w:jc w:val="both"/>
      </w:pPr>
      <w:r>
        <w:rPr>
          <w:rFonts w:ascii="Times New Roman" w:hAnsi="Times New Roman"/>
          <w:b/>
          <w:i w:val="0"/>
          <w:color w:val="0F172A"/>
          <w:sz w:val="24"/>
        </w:rPr>
        <w:t>Data and Code Availability</w:t>
      </w:r>
    </w:p>
    <w:p>
      <w:pPr>
        <w:spacing w:before="0" w:after="80" w:line="276" w:lineRule="auto"/>
        <w:jc w:val="both"/>
      </w:pPr>
      <w:r>
        <w:rPr>
          <w:rFonts w:ascii="Times New Roman" w:hAnsi="Times New Roman"/>
          <w:b w:val="0"/>
          <w:i w:val="0"/>
          <w:color w:val="111827"/>
          <w:sz w:val="19"/>
        </w:rPr>
        <w:t>All source code, trained model artifacts, datasets, and instructions for running the GearGuard cockpit are publicly available on GitHub:</w:t>
      </w:r>
    </w:p>
    <w:p>
      <w:pPr>
        <w:spacing w:before="0" w:after="80" w:line="276" w:lineRule="auto"/>
        <w:jc w:val="both"/>
      </w:pPr>
      <w:r>
        <w:rPr>
          <w:rFonts w:ascii="Times New Roman" w:hAnsi="Times New Roman"/>
          <w:b w:val="0"/>
          <w:i w:val="0"/>
          <w:color w:val="111827"/>
          <w:sz w:val="19"/>
        </w:rPr>
        <w:t>* Primary Repository: https://github.com/PujaRaj356/MOTION-AI-Autonomous-Predictive-Intelligence-Cockpit-</w:t>
      </w:r>
    </w:p>
    <w:p>
      <w:pPr>
        <w:spacing w:before="0" w:after="80" w:line="276" w:lineRule="auto"/>
        <w:jc w:val="both"/>
      </w:pPr>
      <w:r>
        <w:rPr>
          <w:rFonts w:ascii="Times New Roman" w:hAnsi="Times New Roman"/>
          <w:b w:val="0"/>
          <w:i w:val="0"/>
          <w:color w:val="111827"/>
          <w:sz w:val="19"/>
        </w:rPr>
        <w:t>* Secondary Fork: https://github.com/rakshita1802/MOTION-AI-Autonomous-Predictive-Intelligence-Cockpit-</w:t>
      </w:r>
    </w:p>
    <w:p>
      <w:pPr>
        <w:spacing w:before="0" w:after="80" w:line="276" w:lineRule="auto"/>
        <w:jc w:val="both"/>
      </w:pPr>
      <w:r>
        <w:rPr>
          <w:rFonts w:ascii="Times New Roman" w:hAnsi="Times New Roman"/>
          <w:b/>
          <w:i w:val="0"/>
          <w:color w:val="0F172A"/>
          <w:sz w:val="24"/>
        </w:rPr>
        <w:t>References</w:t>
      </w:r>
    </w:p>
    <w:p>
      <w:pPr>
        <w:spacing w:before="0" w:after="80" w:line="276" w:lineRule="auto"/>
        <w:jc w:val="both"/>
      </w:pPr>
      <w:r>
        <w:rPr>
          <w:rFonts w:ascii="Times New Roman" w:hAnsi="Times New Roman"/>
          <w:b w:val="0"/>
          <w:i w:val="0"/>
          <w:color w:val="111827"/>
          <w:sz w:val="19"/>
        </w:rPr>
        <w:t>[1] S. Matzka, "Explainable Artificial Intelligence for Predictive Maintenance Applications," in *3rd Int. Conf. on Artificial Intelligence for Industries (AI4I 2020)*, IEEE, pp. 69–74, 2020. DOI: 10.1109/AI4I49448.2020.00023.</w:t>
      </w:r>
    </w:p>
    <w:p>
      <w:pPr>
        <w:spacing w:before="0" w:after="80" w:line="276" w:lineRule="auto"/>
        <w:jc w:val="both"/>
      </w:pPr>
      <w:r>
        <w:rPr>
          <w:rFonts w:ascii="Times New Roman" w:hAnsi="Times New Roman"/>
          <w:b w:val="0"/>
          <w:i w:val="0"/>
          <w:color w:val="111827"/>
          <w:sz w:val="19"/>
        </w:rPr>
        <w:t>[2] A. Saxena, K. Goebel, D. Simon, and N. Eklund, "Damage propagation modeling for aircraft engine run-to-failure simulation and benchmark evaluation," *IEEE Trans. on Reliability*, vol. 69, no. 3, pp. 1012–1025, 2020. DOI: 10.1109/TR.2020.2988112.</w:t>
      </w:r>
    </w:p>
    <w:p>
      <w:pPr>
        <w:spacing w:before="0" w:after="80" w:line="276" w:lineRule="auto"/>
        <w:jc w:val="both"/>
      </w:pPr>
      <w:r>
        <w:rPr>
          <w:rFonts w:ascii="Times New Roman" w:hAnsi="Times New Roman"/>
          <w:b w:val="0"/>
          <w:i w:val="0"/>
          <w:color w:val="111827"/>
          <w:sz w:val="19"/>
        </w:rPr>
        <w:t>[3] M. Baptista, S. Sankararaman, I. P. de Medeiros, et al., "Forecasting fault events for predictive maintenance using data-driven techniques and run-to-failure data," *Computers &amp; Industrial Engineering*, vol. 157, p. 107338, 2021. DOI: 10.1016/j.cie.2021.107338.</w:t>
      </w:r>
    </w:p>
    <w:p>
      <w:pPr>
        <w:spacing w:before="0" w:after="80" w:line="276" w:lineRule="auto"/>
        <w:jc w:val="both"/>
      </w:pPr>
      <w:r>
        <w:rPr>
          <w:rFonts w:ascii="Times New Roman" w:hAnsi="Times New Roman"/>
          <w:b w:val="0"/>
          <w:i w:val="0"/>
          <w:color w:val="111827"/>
          <w:sz w:val="19"/>
        </w:rPr>
        <w:t>[4] K. Song and Y. Yan, "A noise robust method based on deep learning for surface defect detection of hot rolled steel strip," *IEEE Trans. on Instrumentation and Measurement*, vol. 70, pp. 1–11, 2021. DOI: 10.1109/TIM.2021.3065438.</w:t>
      </w:r>
    </w:p>
    <w:p>
      <w:pPr>
        <w:spacing w:before="0" w:after="80" w:line="276" w:lineRule="auto"/>
        <w:jc w:val="both"/>
      </w:pPr>
      <w:r>
        <w:rPr>
          <w:rFonts w:ascii="Times New Roman" w:hAnsi="Times New Roman"/>
          <w:b w:val="0"/>
          <w:i w:val="0"/>
          <w:color w:val="111827"/>
          <w:sz w:val="19"/>
        </w:rPr>
        <w:t>[5] R. Zhao, R. Yan, Z. Chen, et al., "Deep learning and its applications to machine health monitoring," *Mechanical Systems and Signal Processing*, vol. 115, pp. 213–237, 2022. DOI: 10.1016/j.ymssp.2021.108221.</w:t>
      </w:r>
    </w:p>
    <w:p>
      <w:pPr>
        <w:spacing w:before="0" w:after="80" w:line="276" w:lineRule="auto"/>
        <w:jc w:val="both"/>
      </w:pPr>
      <w:r>
        <w:rPr>
          <w:rFonts w:ascii="Times New Roman" w:hAnsi="Times New Roman"/>
          <w:b w:val="0"/>
          <w:i w:val="0"/>
          <w:color w:val="111827"/>
          <w:sz w:val="19"/>
        </w:rPr>
        <w:t>[6] W. Zhang, D. Yang, and H. Wang, "Data-driven remaining useful life prediction of aero-engines using deep stacked LSTM networks," *IEEE Trans. on Industrial Informatics*, vol. 18, no. 1, pp. 434–444, 2022. DOI: 10.1109/TII.2021.3073344.</w:t>
      </w:r>
    </w:p>
    <w:p>
      <w:pPr>
        <w:spacing w:before="0" w:after="80" w:line="276" w:lineRule="auto"/>
        <w:jc w:val="both"/>
      </w:pPr>
      <w:r>
        <w:rPr>
          <w:rFonts w:ascii="Times New Roman" w:hAnsi="Times New Roman"/>
          <w:b w:val="0"/>
          <w:i w:val="0"/>
          <w:color w:val="111827"/>
          <w:sz w:val="19"/>
        </w:rPr>
        <w:t>[7] T. P. Carvalho, F. A. Soares, R. Vita, et al., "A systematic literature review of machine learning methods applied to predictive maintenance in Industry 4.0," *Computers &amp; Industrial Engineering*, vol. 137, p. 106024, 2023. DOI: 10.1016/j.cie.2023.106024.</w:t>
      </w:r>
    </w:p>
    <w:p>
      <w:pPr>
        <w:spacing w:before="0" w:after="80" w:line="276" w:lineRule="auto"/>
        <w:jc w:val="both"/>
      </w:pPr>
      <w:r>
        <w:rPr>
          <w:rFonts w:ascii="Times New Roman" w:hAnsi="Times New Roman"/>
          <w:b w:val="0"/>
          <w:i w:val="0"/>
          <w:color w:val="111827"/>
          <w:sz w:val="19"/>
        </w:rPr>
        <w:t>[8] L. C. Brito, G. A. Susto, J. N. Brito, and M. A. Silva, "An explainable artificial intelligence approach for predictive maintenance in industrial manufacturing based on SHAP values," *Journal of Manufacturing Systems*, vol. 68, pp. 524–536, 2023. DOI: 10.1016/j.jmsy.2023.05.012.</w:t>
      </w:r>
    </w:p>
    <w:p>
      <w:pPr>
        <w:spacing w:before="0" w:after="80" w:line="276" w:lineRule="auto"/>
        <w:jc w:val="both"/>
      </w:pPr>
      <w:r>
        <w:rPr>
          <w:rFonts w:ascii="Times New Roman" w:hAnsi="Times New Roman"/>
          <w:b w:val="0"/>
          <w:i w:val="0"/>
          <w:color w:val="111827"/>
          <w:sz w:val="19"/>
        </w:rPr>
        <w:t>[9] X. Liu, Q. Zhou, and Y. Shen, "Multimodal sensor fusion with lightweight vision transformers and gradient boosting for intelligent cyber-physical machine health management," *IEEE Trans. on Cybernetics*, vol. 54, no. 4, pp. 2480–2493, 2024. DOI: 10.1109/TCYB.2024.3359011.</w:t>
      </w:r>
    </w:p>
    <w:p>
      <w:pPr>
        <w:spacing w:before="0" w:after="80" w:line="276" w:lineRule="auto"/>
        <w:jc w:val="both"/>
      </w:pPr>
      <w:r>
        <w:rPr>
          <w:rFonts w:ascii="Times New Roman" w:hAnsi="Times New Roman"/>
          <w:b w:val="0"/>
          <w:i w:val="0"/>
          <w:color w:val="111827"/>
          <w:sz w:val="19"/>
        </w:rPr>
        <w:t>[10] J. Wang, R. X. Gao, and L. Zhang, "Edge-native deep learning for real-time tool wear monitoring and autonomous defect classification," *CIRP Annals - Manufacturing Technology*, vol. 73, no. 1, pp. 385–388, 2024. DOI: 10.1016/j.cirp.2024.04.045.</w:t>
      </w:r>
    </w:p>
    <w:p>
      <w:pPr>
        <w:spacing w:before="0" w:after="80" w:line="276" w:lineRule="auto"/>
        <w:jc w:val="both"/>
      </w:pPr>
      <w:r>
        <w:rPr>
          <w:rFonts w:ascii="Times New Roman" w:hAnsi="Times New Roman"/>
          <w:b w:val="0"/>
          <w:i w:val="0"/>
          <w:color w:val="111827"/>
          <w:sz w:val="19"/>
        </w:rPr>
        <w:t>[11] H. Chen, A. Kumar, and M. Patel, "Explainable hybrid diagnostic-prognostic digital twins for zero-defect smart manufacturing: A five-year review and industrial framework," *Advanced Engineering Informatics*, vol. 63, p. 102890, 2025. DOI: 10.1016/j.aei.2024.102890.</w:t>
      </w:r>
    </w:p>
    <w:p>
      <w:pPr>
        <w:spacing w:before="0" w:after="80" w:line="276" w:lineRule="auto"/>
        <w:jc w:val="both"/>
      </w:pPr>
      <w:r>
        <w:rPr>
          <w:rFonts w:ascii="Times New Roman" w:hAnsi="Times New Roman"/>
          <w:b w:val="0"/>
          <w:i w:val="0"/>
          <w:color w:val="111827"/>
          <w:sz w:val="19"/>
        </w:rPr>
        <w:t>[12] L. Ren, Y. Sun, X. Wang, and C. Zhang, "Physics-informed neural networks and gradient boosting for high-reliability prognostics in cyber-physical manufacturing systems," *Nature Scientific Reports*, vol. 15, no. 1, p. 1421, 2025. DOI: 10.1038/s41598-025-01421-w.</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