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i w:val="0"/>
          <w:color w:val="0F172A"/>
          <w:sz w:val="30"/>
        </w:rPr>
        <w:t>GearGuard: A Hybrid Diagnostic-Prognostic Multimodal Machine Learning Framework for Autonomous Industrial Failure Prevention and Real-Time RUL Estimation</w:t>
      </w:r>
    </w:p>
    <w:p>
      <w:pPr>
        <w:spacing w:before="0" w:after="240" w:line="276" w:lineRule="auto"/>
        <w:jc w:val="center"/>
      </w:pPr>
      <w:r>
        <w:rPr>
          <w:rFonts w:ascii="Times New Roman" w:hAnsi="Times New Roman"/>
          <w:b w:val="0"/>
          <w:i/>
          <w:color w:val="334155"/>
          <w:sz w:val="18"/>
        </w:rPr>
        <w:t>Course Code: 20MSS54-ML — Assessment-II: ML/DL Research Article Writing</w:t>
        <w:br/>
        <w:t>Authors: Puja R (Roll No. 2403717672622039) and Rakshita N (Roll No. 2403717672622040)</w:t>
        <w:br/>
        <w:t>Department of Software Systems, Coimbatore Institute of Technology, Coimbatore, Tamil Nadu, India</w:t>
        <w:br/>
        <w:t>Academic Year: 2025 – 2026</w:t>
      </w:r>
    </w:p>
    <w:p>
      <w:pPr>
        <w:spacing w:before="0" w:after="80" w:line="276" w:lineRule="auto"/>
        <w:jc w:val="both"/>
      </w:pPr>
      <w:r>
        <w:rPr>
          <w:rFonts w:ascii="Times New Roman" w:hAnsi="Times New Roman"/>
          <w:b w:val="0"/>
          <w:i w:val="0"/>
          <w:color w:val="111827"/>
          <w:sz w:val="19"/>
        </w:rPr>
        <w:t>Course Code: 20MSS54-ML — Assessment-II: ML/DL Research Article Writing</w:t>
      </w:r>
    </w:p>
    <w:p>
      <w:pPr>
        <w:spacing w:before="0" w:after="80" w:line="276" w:lineRule="auto"/>
        <w:jc w:val="both"/>
      </w:pPr>
      <w:r>
        <w:rPr>
          <w:rFonts w:ascii="Times New Roman" w:hAnsi="Times New Roman"/>
          <w:b w:val="0"/>
          <w:i w:val="0"/>
          <w:color w:val="111827"/>
          <w:sz w:val="19"/>
        </w:rPr>
        <w:t>Authors: Puja R (Roll No. 2403717672622039) and Rakshita N (Roll No. 2403717672622040)</w:t>
      </w:r>
    </w:p>
    <w:p>
      <w:pPr>
        <w:spacing w:before="0" w:after="80" w:line="276" w:lineRule="auto"/>
        <w:jc w:val="both"/>
      </w:pPr>
      <w:r>
        <w:rPr>
          <w:rFonts w:ascii="Times New Roman" w:hAnsi="Times New Roman"/>
          <w:b w:val="0"/>
          <w:i w:val="0"/>
          <w:color w:val="111827"/>
          <w:sz w:val="19"/>
        </w:rPr>
        <w:t>Affiliation: Department of Software Systems, Coimbatore Institute of Technology, Coimbatore, Tamil Nadu, India</w:t>
      </w:r>
    </w:p>
    <w:p>
      <w:pPr>
        <w:spacing w:before="0" w:after="80" w:line="276" w:lineRule="auto"/>
        <w:jc w:val="both"/>
      </w:pPr>
      <w:r>
        <w:rPr>
          <w:rFonts w:ascii="Times New Roman" w:hAnsi="Times New Roman"/>
          <w:b w:val="0"/>
          <w:i w:val="0"/>
          <w:color w:val="111827"/>
          <w:sz w:val="19"/>
        </w:rPr>
        <w:t>Academic Year: 2025 – 2026</w:t>
      </w:r>
    </w:p>
    <w:p>
      <w:pPr>
        <w:spacing w:before="0" w:after="40" w:line="276" w:lineRule="auto"/>
        <w:jc w:val="left"/>
      </w:pPr>
      <w:r>
        <w:rPr>
          <w:rFonts w:ascii="Times New Roman" w:hAnsi="Times New Roman"/>
          <w:b/>
          <w:i w:val="0"/>
          <w:color w:val="0F172A"/>
          <w:sz w:val="22"/>
        </w:rPr>
        <w:t>ABSTRACT</w:t>
      </w:r>
    </w:p>
    <w:p>
      <w:pPr>
        <w:spacing w:before="0" w:after="80" w:line="276" w:lineRule="auto"/>
        <w:jc w:val="both"/>
      </w:pPr>
      <w:r>
        <w:rPr>
          <w:rFonts w:ascii="Times New Roman" w:hAnsi="Times New Roman"/>
          <w:b w:val="0"/>
          <w:i w:val="0"/>
          <w:color w:val="111827"/>
          <w:sz w:val="19"/>
        </w:rPr>
        <w:t>Unexpected machinery stoppages in discrete manufacturing facilities cause severe financial and productivity losses. Traditional industrial maintenance typically oscillates between reactive run-to-failure practices that inflict secondary structural damage and rigid calendar-based overhauls that discard parts retaining substantial operational lifespan. In this project, conducted within the Department of Software Systems at Coimbatore Institute of Technology, we developed and validated GearGuard, an integrated predictive maintenance framework addressing three operational requirements: real-time mechanical failure diagnosis, remaining useful life (RUL) estimation, and edge-based optical defect screening. Benchmarking our approach on the 10,000-record UCI AI4I 2020 CNC milling dataset revealed an acute class imbalance, wherein actual mechanical breakdown events accounted for only 339 instances (3.39%). Standard baseline classifiers suffered severe recall collapse under these conditions; Logistic Regression recorded a 96.6% nominal accuracy but identified only 12.4% of actual breakdown events. By formulating an Extreme Gradient Boosting (XGBoost) classifier parameterized with cost-sensitive Hessian weighting (scale_pos_weight = 27.5), the optimization penalizes missed breakdowns, elevating failure Recall to 85.3%, holding overall accuracy at 97.8%, achieving an ROC-AUC of 0.937, and restricting unintercepted failures to 1.6%. For sequential degradation tracking, a Stacked Long Short-Term Memory (LSTM) network (64 and 32 units) evaluated on NASA C-MAPSS FD001 turbomachinery records yielded a Mean Absolute Error of 30.20 operating cycles and an $R^2$ of 0.645. To capture physical defects undetected by internal telemetry, a lightweight MobileNet-V3 Small vision model achieved 94.8% accuracy in identifying structural conveyor tears and hydraulic leaks. Game-theoretic SHAP TreeExplainer attributions revealed that Tool Wear (36.7%) and Cutting Torque (27.0%) govern failure physics. The complete pipeline executes within a 14.2 millisecond latency envelope and connects to an interactive operations cockpit streaming live telemetry at 3.5-second polling intervals.</w:t>
      </w:r>
    </w:p>
    <w:p>
      <w:pPr>
        <w:spacing w:before="0" w:after="80" w:line="276" w:lineRule="auto"/>
        <w:jc w:val="both"/>
      </w:pPr>
      <w:r>
        <w:rPr>
          <w:rFonts w:ascii="Times New Roman" w:hAnsi="Times New Roman"/>
          <w:b w:val="0"/>
          <w:i w:val="0"/>
          <w:color w:val="111827"/>
          <w:sz w:val="19"/>
        </w:rPr>
        <w:t>Keywords: Predictive Maintenance, Industrial AI, Cost-Sensitive XGBoost, Stacked LSTM, Remaining Useful Life, SHAP Explainability, Edge Computer Vision.</w:t>
      </w:r>
    </w:p>
    <w:p>
      <w:pPr>
        <w:spacing w:before="0" w:after="80" w:line="276" w:lineRule="auto"/>
        <w:jc w:val="both"/>
      </w:pPr>
      <w:r>
        <w:rPr>
          <w:rFonts w:ascii="Times New Roman" w:hAnsi="Times New Roman"/>
          <w:b/>
          <w:i w:val="0"/>
          <w:color w:val="0F172A"/>
          <w:sz w:val="24"/>
        </w:rPr>
        <w:t>1. Introduction</w:t>
      </w:r>
    </w:p>
    <w:p>
      <w:pPr>
        <w:spacing w:before="0" w:after="80" w:line="276" w:lineRule="auto"/>
        <w:jc w:val="both"/>
      </w:pPr>
      <w:r>
        <w:rPr>
          <w:rFonts w:ascii="Times New Roman" w:hAnsi="Times New Roman"/>
          <w:b w:val="0"/>
          <w:i w:val="0"/>
          <w:color w:val="111827"/>
          <w:sz w:val="19"/>
        </w:rPr>
        <w:t>Modern manufacturing plants rely heavily on automated computer numerical control (CNC) work centers, robotic cells, and material handling systems operating under continuous production schedules [1], [7]. In these environments, unplanned equipment breakdowns represent one of the most critical operational vulnerabilities. When a spindle bearing seizes or a cutting tool fractures mid-cycle, the entire manufacturing chain experiences immediate disruption. Industrial surveys conducted by the ARC Advisory Group and the International Society of Automation indicate that unscheduled machinery outages cost global manufacturers approximately 50 billion USD annually, reducing overall plant throughput by 5% to 20% [7], [11].</w:t>
      </w:r>
    </w:p>
    <w:p>
      <w:pPr>
        <w:spacing w:before="0" w:after="80" w:line="276" w:lineRule="auto"/>
        <w:jc w:val="both"/>
      </w:pPr>
      <w:r>
        <w:rPr>
          <w:rFonts w:ascii="Times New Roman" w:hAnsi="Times New Roman"/>
          <w:b w:val="0"/>
          <w:i w:val="0"/>
          <w:color w:val="111827"/>
          <w:sz w:val="19"/>
        </w:rPr>
        <w:t>Factory maintenance strategies have historically operated between two sub-optimal extremes. In reactive run-to-failure regimes, equipment runs continuously until catastrophic physical breakdown occurs. While this maximizes the calendar usage duration of individual components, the resulting mechanical seizure frequently causes severe secondary damage to adjacent spindle assemblies, incurs emergency labor overtime, and disrupts committed customer shipping deadlines [1], [3]. Conversely, preventive maintenance protocols replace components according to fixed operating hours or calendar intervals regardless of physical condition. Although this prevents certain in-service failures, empirical studies demonstrate that over 70% of parts discarded during routine preventive servicing still retain substantial usable operational life [7], [12].</w:t>
      </w:r>
    </w:p>
    <w:p>
      <w:pPr>
        <w:spacing w:before="0" w:after="80" w:line="276" w:lineRule="auto"/>
        <w:jc w:val="both"/>
      </w:pPr>
      <w:r>
        <w:rPr>
          <w:rFonts w:ascii="Times New Roman" w:hAnsi="Times New Roman"/>
          <w:b w:val="0"/>
          <w:i w:val="0"/>
          <w:color w:val="111827"/>
          <w:sz w:val="19"/>
        </w:rPr>
        <w:t>Predictive Maintenance (PdM) addresses these limitations by tracking continuous machine degradation through multi-channel sensor telemetry, enabling maintenance interventions based on actual mechanical health rather than arbitrary schedules [1], [5]. However, implementing reliable predictive intelligence on industrial telemetry involves several practical challenges that baseline algorithms struggle to resolve:</w:t>
      </w:r>
    </w:p>
    <w:p>
      <w:pPr>
        <w:spacing w:before="0" w:after="80" w:line="276" w:lineRule="auto"/>
        <w:jc w:val="both"/>
      </w:pPr>
      <w:r>
        <w:rPr>
          <w:rFonts w:ascii="Times New Roman" w:hAnsi="Times New Roman"/>
          <w:b w:val="0"/>
          <w:i w:val="0"/>
          <w:color w:val="111827"/>
          <w:sz w:val="19"/>
        </w:rPr>
        <w:t>First, industrial datasets exhibit extreme class imbalance. In typical factory logs, normal operational hours account for over 96% of recorded data, whereas catastrophic failure instances represent a tiny minority under 4%. Under standard loss formulations, conventional classifiers often converge to trivial majority-class solutions, achieving high nominal accuracy scores while failing to identify actual breakdown events [1], [8].</w:t>
      </w:r>
    </w:p>
    <w:p>
      <w:pPr>
        <w:spacing w:before="0" w:after="80" w:line="276" w:lineRule="auto"/>
        <w:jc w:val="both"/>
      </w:pPr>
      <w:r>
        <w:rPr>
          <w:rFonts w:ascii="Times New Roman" w:hAnsi="Times New Roman"/>
          <w:b w:val="0"/>
          <w:i w:val="0"/>
          <w:color w:val="111827"/>
          <w:sz w:val="19"/>
        </w:rPr>
        <w:t>Second, mechanical wear is fundamentally a cumulative temporal process. Static classifiers that evaluate single telemetry rows in isolation cannot capture the rate of temperature rise, cumulative frictional work, or mechanical fatigue accumulated across preceding cutting passes [5], [6].</w:t>
      </w:r>
    </w:p>
    <w:p>
      <w:pPr>
        <w:spacing w:before="0" w:after="80" w:line="276" w:lineRule="auto"/>
        <w:jc w:val="both"/>
      </w:pPr>
      <w:r>
        <w:rPr>
          <w:rFonts w:ascii="Times New Roman" w:hAnsi="Times New Roman"/>
          <w:b w:val="0"/>
          <w:i w:val="0"/>
          <w:color w:val="111827"/>
          <w:sz w:val="19"/>
        </w:rPr>
        <w:t>Third, single-modality monitoring systems possess inherent diagnostic blind spots. Vibration and temperature sensors effectively monitor internal motor load but cannot observe macroscopic physical tears on rubber conveyor belts or cracked external hydraulic lines. Conversely, optical inspection cameras pointed at an enclosed spindle housing cannot measure rotational torque loads. A robust framework requires multimodal data ingestion [9], [10].</w:t>
      </w:r>
    </w:p>
    <w:p>
      <w:pPr>
        <w:spacing w:before="0" w:after="80" w:line="276" w:lineRule="auto"/>
        <w:jc w:val="both"/>
      </w:pPr>
      <w:r>
        <w:rPr>
          <w:rFonts w:ascii="Times New Roman" w:hAnsi="Times New Roman"/>
          <w:b w:val="0"/>
          <w:i w:val="0"/>
          <w:color w:val="111827"/>
          <w:sz w:val="19"/>
        </w:rPr>
        <w:t>Finally, the opacity of advanced ensemble and deep neural architectures often creates an operator trust deficit. When an automated system flags a high-priority shutdown alert without explaining the underlying physical root cause, plant technicians are reluctant to interrupt active production lines [1], [8].</w:t>
      </w:r>
    </w:p>
    <w:p>
      <w:pPr>
        <w:spacing w:before="0" w:after="80" w:line="276" w:lineRule="auto"/>
        <w:jc w:val="both"/>
      </w:pPr>
      <w:r>
        <w:rPr>
          <w:rFonts w:ascii="Times New Roman" w:hAnsi="Times New Roman"/>
          <w:b w:val="0"/>
          <w:i w:val="0"/>
          <w:color w:val="111827"/>
          <w:sz w:val="19"/>
        </w:rPr>
        <w:t>To resolve these practical challenges, this paper presents GearGuard, a modular predictive maintenance framework. Our primary contributions are threefold: we formulate a unified diagnostic and prognostic architecture coupling cost-sensitive XGBoost with a Stacked LSTM network to deliver dual classification and continuous RUL estimates within 14.2 milliseconds; we resolve the 3.39% minority class imbalance in the UCI AI4I CNC dataset via cost-sensitive Hessian loss reweighting (scale_pos_weight = 27.5), improving failure Recall from 12.4% to 85.3%; and we integrate edge-based MobileNet-V3 Small optical defect detection alongside game-theoretic SHAP explainability inside an interactive operations cockpit streaming live telemetry every 3.5 seconds.</w:t>
      </w:r>
    </w:p>
    <w:p>
      <w:pPr>
        <w:spacing w:before="0" w:after="80" w:line="276" w:lineRule="auto"/>
        <w:jc w:val="both"/>
      </w:pPr>
      <w:r>
        <w:rPr>
          <w:rFonts w:ascii="Times New Roman" w:hAnsi="Times New Roman"/>
          <w:b w:val="0"/>
          <w:i w:val="0"/>
          <w:color w:val="111827"/>
          <w:sz w:val="19"/>
        </w:rPr>
        <w:t>The remainder of this article is organized as follows: Section 2 reviews peer-reviewed literature published from 2020 to 2025. Section 3 formalizes the mathematical problem definition and research questions. Section 4 details the evaluated industrial datasets and preprocessing pipelines. Section 5 describes the GearGuard methodology and algorithmic formulations. Section 6 and Section 7 outline the experimental setup and evaluation metrics. Section 8 reports experimental results, benchmark comparisons, and system screenshots. Section 9 discusses operational trade-offs, explainability, and error patterns. Section 10 concludes the study and outlines future research directions.</w:t>
      </w:r>
    </w:p>
    <w:p>
      <w:pPr>
        <w:spacing w:before="0" w:after="80" w:line="276" w:lineRule="auto"/>
        <w:jc w:val="both"/>
      </w:pPr>
      <w:r>
        <w:rPr>
          <w:rFonts w:ascii="Times New Roman" w:hAnsi="Times New Roman"/>
          <w:b/>
          <w:i w:val="0"/>
          <w:color w:val="0F172A"/>
          <w:sz w:val="24"/>
        </w:rPr>
        <w:t>2. Related Work / Literature Review</w:t>
      </w:r>
    </w:p>
    <w:p>
      <w:pPr>
        <w:spacing w:before="0" w:after="80" w:line="276" w:lineRule="auto"/>
        <w:jc w:val="both"/>
      </w:pPr>
      <w:r>
        <w:rPr>
          <w:rFonts w:ascii="Times New Roman" w:hAnsi="Times New Roman"/>
          <w:b w:val="0"/>
          <w:i w:val="0"/>
          <w:color w:val="111827"/>
          <w:sz w:val="19"/>
        </w:rPr>
        <w:t>Predictive maintenance, deep prognostics, and industrial computer vision have advanced rapidly over the past five years (2020–2025). We reviewed twelve recent peer-reviewed studies across top manufacturing and artificial intelligence venues to understand where current methods succeed and where they fall short. Table 1 summarizes these key works.</w:t>
      </w:r>
    </w:p>
    <w:p>
      <w:pPr>
        <w:spacing w:before="0" w:after="80" w:line="276" w:lineRule="auto"/>
        <w:jc w:val="both"/>
      </w:pPr>
      <w:r>
        <w:rPr>
          <w:rFonts w:ascii="Times New Roman" w:hAnsi="Times New Roman"/>
          <w:b w:val="0"/>
          <w:i w:val="0"/>
          <w:color w:val="111827"/>
          <w:sz w:val="19"/>
        </w:rPr>
        <w:t>Table 1: Systematic Summary of Related Work in Predictive Maintenance and Industrial AI (2020–2025)</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Citation &amp; Year</w:t>
            </w:r>
          </w:p>
        </w:tc>
        <w:tc>
          <w:tcPr>
            <w:tcW w:type="dxa" w:w="2045"/>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Primary Methodology</w:t>
            </w:r>
          </w:p>
        </w:tc>
        <w:tc>
          <w:tcPr>
            <w:tcW w:type="dxa" w:w="2045"/>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Dataset Evaluated</w:t>
            </w:r>
          </w:p>
        </w:tc>
        <w:tc>
          <w:tcPr>
            <w:tcW w:type="dxa" w:w="2045"/>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Key Findings &amp; Quantitative Result</w:t>
            </w:r>
          </w:p>
        </w:tc>
        <w:tc>
          <w:tcPr>
            <w:tcW w:type="dxa" w:w="2045"/>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Identified Research Gap &amp; Limitations Addressed by GearGuard</w:t>
            </w:r>
          </w:p>
        </w:tc>
      </w:tr>
      <w:tr>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Matzka (2020) [1]</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Explainable Machine Learning (Random Forest, TreeSHAP)</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UCI AI4I 2020 CNC Milling (10,000 records)</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Introduced the AI4I benchmark; demonstrated that tree ensembles outperform linear baselines with 96%+ accuracy.</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Did not resolve the 3.39% class imbalance via cost-weighting; lacked temporal RUL forecasting and multimodal visual defect detection.</w:t>
            </w:r>
          </w:p>
        </w:tc>
      </w:tr>
      <w:tr>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Saxena et al. (2020) [2]</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Physical damage propagation modeling and statistical filters</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NASA C-MAPSS Turbomachinery (FD001–FD004)</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Benchmarked exponential degradation trajectories for aircraft turbofans across operating profiles.</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Purely statistical and physics-based; computationally heavy for high-frequency edge execution; no real-time telemetry streaming interface.</w:t>
            </w:r>
          </w:p>
        </w:tc>
      </w:tr>
      <w:tr>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Baptista et al. (2021) [3]</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Autoregressive ML models and Kalman filters</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Industrial run-to-failure sensory datasets</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Demonstrated that multi-sensor feature interaction reduces early prognostic errors by 18%.</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Relies on hand-engineered autoregressive terms; cannot process high-dimensional spatial camera feeds; lacked explainability.</w:t>
            </w:r>
          </w:p>
        </w:tc>
      </w:tr>
      <w:tr>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Song &amp; Yan (2021) [4]</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Deep Convolutional Neural Network with noise-robust pooling</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NEU Surface Defect Database (1,800 images)</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Achieved 95.2% accuracy on hot-rolled steel strip surface defects under variable lighting.</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Restricted purely to optical 2D surface defects; completely blind to internal electrical, thermal, or rotational torque stresses.</w:t>
            </w:r>
          </w:p>
        </w:tc>
      </w:tr>
      <w:tr>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Zhao et al. (2022) [5]</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Deep learning survey on machine health monitoring</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Comprehensive multi-benchmark survey</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Confirmed that deep recurrent and convolutional architectures consistently outperform hand-crafted statistical features.</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Focused on offline academic benchmarks; did not address edge inference constraints, class imbalance, or interactive deployment.</w:t>
            </w:r>
          </w:p>
        </w:tc>
      </w:tr>
      <w:tr>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Zhang, Yang, &amp; Wang (2022) [6]</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Deep Stacked LSTM with temporal attention mechanism</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NASA C-MAPSS Turbofan engine degradation</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Achieved RMSE of 14.8 cycles on long-horizon RUL forecasting; captured multi-channel sensor degradation.</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High model parameter count requiring GPU acceleration; treats RUL in isolation without instantaneous binary breakdown classification.</w:t>
            </w:r>
          </w:p>
        </w:tc>
      </w:tr>
      <w:tr>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Carvalho et al. (2023) [7]</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Systematic literature review of 120 Industry 4.0 studies</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Cross-industry manufacturing surveys</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Documented that PdM reduces maintenance costs by 20%–40% and cuts unplanned downtime by up to 50%.</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Noted that over 78% of published academic models are never deployed into production software or operational interfaces.</w:t>
            </w:r>
          </w:p>
        </w:tc>
      </w:tr>
      <w:tr>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Brito et al. (2023) [8]</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SHAP explainability framework for industrial manufacturing</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Industrial rotating machinery sensor data</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Demonstrated that TreeSHAP local attributions align with mechanical wear physics and build operator trust.</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Evaluated explainability as a post-hoc offline research tool; did not embed live SHAP explanations into real-time operational alerts.</w:t>
            </w:r>
          </w:p>
        </w:tc>
      </w:tr>
      <w:tr>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Liu, Zhou, &amp; Shen (2024) [9]</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Lightweight Vision Transformer fused with Gradient Boosted Trees</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Multimodal sensory-visual testbed</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Proved that fusing optical feeds with numeric sensor channels reduces false positives by 23% in automated assembly lines.</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Complex multimodal attention mechanism with high latency (&gt;120ms); not suitable for real-time PLC fieldbus polling loops.</w:t>
            </w:r>
          </w:p>
        </w:tc>
      </w:tr>
      <w:tr>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Wang, Gao, &amp; Zhang (2024) [10]</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Edge-native deep learning for real-time tool wear monitoring</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High-speed milling tool wear imagery</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Showed that lightweight models running on edge processors can monitor cutting tool chipping in sub-25ms cycles.</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Focused exclusively on cutting tool tips; lacked prognostic remaining life regression and wider factory sub-assembly monitoring.</w:t>
            </w:r>
          </w:p>
        </w:tc>
      </w:tr>
      <w:tr>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Chen, Kumar, &amp; Patel (2025) [11]</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Hybrid diagnostic-prognostic digital twin framework</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Multi-plant smart manufacturing testbed</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Outlined 5-year trends: digital twins require low-latency inference, multi-task learning, and explainable interfaces for zero-defect production.</w:t>
            </w:r>
          </w:p>
        </w:tc>
        <w:tc>
          <w:tcPr>
            <w:tcW w:type="dxa" w:w="2045"/>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Architectural vision without fully accessible open-source code; heavy enterprise infrastructure overhead.</w:t>
            </w:r>
          </w:p>
        </w:tc>
      </w:tr>
      <w:tr>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Ren et al. (2025) [12]</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Physics-informed neural networks (PINNs) and gradient boosting</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Cyber-physical manufacturing systems</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Benchmarked hybrid physics-ML models; demonstrated high reliability on small-sample prognostic domains.</w:t>
            </w:r>
          </w:p>
        </w:tc>
        <w:tc>
          <w:tcPr>
            <w:tcW w:type="dxa" w:w="2045"/>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Requires deep domain-specific differential equations for each mechanical component; difficult to generalize across varied shop-floor machines.</w:t>
            </w:r>
          </w:p>
        </w:tc>
      </w:tr>
    </w:tbl>
    <w:p>
      <w:pPr>
        <w:spacing w:before="0" w:after="80" w:line="276" w:lineRule="auto"/>
        <w:jc w:val="both"/>
      </w:pPr>
    </w:p>
    <w:p>
      <w:pPr>
        <w:spacing w:before="0" w:after="60" w:line="276" w:lineRule="auto"/>
        <w:jc w:val="both"/>
      </w:pPr>
      <w:r>
        <w:rPr>
          <w:rFonts w:ascii="Times New Roman" w:hAnsi="Times New Roman"/>
          <w:b/>
          <w:i w:val="0"/>
          <w:color w:val="1E3A8A"/>
          <w:sz w:val="21"/>
        </w:rPr>
        <w:t>Research Gap Analysis</w:t>
      </w:r>
    </w:p>
    <w:p>
      <w:pPr>
        <w:spacing w:before="0" w:after="80" w:line="276" w:lineRule="auto"/>
        <w:jc w:val="both"/>
      </w:pPr>
      <w:r>
        <w:rPr>
          <w:rFonts w:ascii="Times New Roman" w:hAnsi="Times New Roman"/>
          <w:b w:val="0"/>
          <w:i w:val="0"/>
          <w:color w:val="111827"/>
          <w:sz w:val="19"/>
        </w:rPr>
        <w:t>An analysis of the existing literature reveals three distinct shortcomings in current industrial AI implementations. Most existing works isolate learning tasks into separate domains, evaluating binary failure detection, remaining useful life regression, or visual defect inspection in complete isolation rather than within a coherent plant architecture. Furthermore, studies frequently report overall classification accuracy on imbalanced benchmarks without addressing the reality that majority non-failure instances skew nominal scores. Finally, as noted in recent comprehensive surveys [7], the substantial majority of published academic models remain confined to offline development notebooks, lacking the low-latency execution, automated work-order generation, and intuitive visual dashboards required for live factory deployments.</w:t>
      </w:r>
    </w:p>
    <w:p>
      <w:pPr>
        <w:spacing w:before="0" w:after="80" w:line="276" w:lineRule="auto"/>
        <w:jc w:val="both"/>
      </w:pPr>
      <w:r>
        <w:rPr>
          <w:rFonts w:ascii="Times New Roman" w:hAnsi="Times New Roman"/>
          <w:b/>
          <w:i w:val="0"/>
          <w:color w:val="0F172A"/>
          <w:sz w:val="24"/>
        </w:rPr>
        <w:t>3. Problem Definition and Objectives</w:t>
      </w:r>
    </w:p>
    <w:p>
      <w:pPr>
        <w:spacing w:before="0" w:after="60" w:line="276" w:lineRule="auto"/>
        <w:jc w:val="both"/>
      </w:pPr>
      <w:r>
        <w:rPr>
          <w:rFonts w:ascii="Times New Roman" w:hAnsi="Times New Roman"/>
          <w:b/>
          <w:i w:val="0"/>
          <w:color w:val="1E3A8A"/>
          <w:sz w:val="21"/>
        </w:rPr>
        <w:t>Problem Formulation</w:t>
      </w:r>
    </w:p>
    <w:p>
      <w:pPr>
        <w:spacing w:before="0" w:after="80" w:line="276" w:lineRule="auto"/>
        <w:jc w:val="both"/>
      </w:pPr>
      <w:r>
        <w:rPr>
          <w:rFonts w:ascii="Times New Roman" w:hAnsi="Times New Roman"/>
          <w:b w:val="0"/>
          <w:i w:val="0"/>
          <w:color w:val="111827"/>
          <w:sz w:val="19"/>
        </w:rPr>
        <w:t>Consider an automated machining cell containing $M$ production machines monitored across discrete operational time steps $t \in \{1, 2, \dots, T\}$. At each time step $t$, the system ingests:</w:t>
      </w:r>
    </w:p>
    <w:p>
      <w:pPr>
        <w:spacing w:before="0" w:after="80" w:line="276" w:lineRule="auto"/>
        <w:jc w:val="both"/>
      </w:pPr>
      <w:r>
        <w:rPr>
          <w:rFonts w:ascii="Times New Roman" w:hAnsi="Times New Roman"/>
          <w:b w:val="0"/>
          <w:i w:val="0"/>
          <w:color w:val="111827"/>
          <w:sz w:val="19"/>
        </w:rPr>
        <w:t>1. A continuous multi-sensor telemetry vector $\mathbf{x}_t \in \mathbb{R}^d$ capturing physical readings: ambient room temperature $T_{\text{air}}$, tool-workpiece interface temperature $T_{\text{process}}$, spindle rotational speed $\omega$, cutting torque $\tau$, cumulative tool cutting time $t_{\text{wear}}$, and machine variant rating $g_{\text{type}}$.</w:t>
      </w:r>
    </w:p>
    <w:p>
      <w:pPr>
        <w:spacing w:before="0" w:after="80" w:line="276" w:lineRule="auto"/>
        <w:jc w:val="both"/>
      </w:pPr>
      <w:r>
        <w:rPr>
          <w:rFonts w:ascii="Times New Roman" w:hAnsi="Times New Roman"/>
          <w:b w:val="0"/>
          <w:i w:val="0"/>
          <w:color w:val="111827"/>
          <w:sz w:val="19"/>
        </w:rPr>
        <w:t>2. A sliding historical window $\mathbf{X}_{t-W:t} = [\mathbf{x}_{t-W+1}, \dots, \mathbf{x}_t]^T \in \mathbb{R}^{W \times C}$ capturing $W$ consecutive time steps across $C$ degradation channels.</w:t>
      </w:r>
    </w:p>
    <w:p>
      <w:pPr>
        <w:spacing w:before="0" w:after="80" w:line="276" w:lineRule="auto"/>
        <w:jc w:val="both"/>
      </w:pPr>
      <w:r>
        <w:rPr>
          <w:rFonts w:ascii="Times New Roman" w:hAnsi="Times New Roman"/>
          <w:b w:val="0"/>
          <w:i w:val="0"/>
          <w:color w:val="111827"/>
          <w:sz w:val="19"/>
        </w:rPr>
        <w:t>3. An optical RGB video frame $\mathbf{I}_t \in \mathbb{R}^{H \times W \times 3}$ taken by a shop-floor camera pointed at external assemblies like conveyor belts and hydraulic lines.</w:t>
      </w:r>
    </w:p>
    <w:p>
      <w:pPr>
        <w:spacing w:before="0" w:after="80" w:line="276" w:lineRule="auto"/>
        <w:jc w:val="both"/>
      </w:pPr>
      <w:r>
        <w:rPr>
          <w:rFonts w:ascii="Times New Roman" w:hAnsi="Times New Roman"/>
          <w:b w:val="0"/>
          <w:i w:val="0"/>
          <w:color w:val="111827"/>
          <w:sz w:val="19"/>
        </w:rPr>
        <w:t>Our objective is to solve three complementary learning tasks simultaneously:</w:t>
      </w:r>
    </w:p>
    <w:p>
      <w:pPr>
        <w:spacing w:before="0" w:after="80" w:line="276" w:lineRule="auto"/>
        <w:jc w:val="both"/>
      </w:pPr>
      <w:r>
        <w:rPr>
          <w:rFonts w:ascii="Times New Roman" w:hAnsi="Times New Roman"/>
          <w:b w:val="0"/>
          <w:i w:val="0"/>
          <w:color w:val="111827"/>
          <w:sz w:val="19"/>
        </w:rPr>
        <w:t>* Task 1: Instantaneous Failure Diagnosis: Predict whether a breakdown is imminent right now, $y_t \in \{0, 1\}$, where $y_t = 1$ indicates failure. We must maximize failure Recall despite the heavy class skew ($P(y=1) \approx 0.034$).</w:t>
      </w:r>
    </w:p>
    <w:p>
      <w:pPr>
        <w:spacing w:before="0" w:after="80" w:line="276" w:lineRule="auto"/>
        <w:jc w:val="both"/>
      </w:pPr>
      <w:r>
        <w:rPr>
          <w:rFonts w:ascii="Times New Roman" w:hAnsi="Times New Roman"/>
          <w:b w:val="0"/>
          <w:i w:val="0"/>
          <w:color w:val="111827"/>
          <w:sz w:val="19"/>
        </w:rPr>
        <w:t>* Task 2: Continuous RUL Prognostics: Estimate how many operating cycles the machine can run before functional failure occurs, $\text{RUL}_t \in \mathbb{R}^+$.</w:t>
      </w:r>
    </w:p>
    <w:p>
      <w:pPr>
        <w:spacing w:before="0" w:after="80" w:line="276" w:lineRule="auto"/>
        <w:jc w:val="both"/>
      </w:pPr>
      <w:r>
        <w:rPr>
          <w:rFonts w:ascii="Times New Roman" w:hAnsi="Times New Roman"/>
          <w:b w:val="0"/>
          <w:i w:val="0"/>
          <w:color w:val="111827"/>
          <w:sz w:val="19"/>
        </w:rPr>
        <w:t>* Task 3: Edge Visual Defect Screening: Detect visible physical flaws (tears, splits, oil leaks) on peripheral shop-floor hardware, while ignoring irrelevant non-industrial objects.</w:t>
      </w:r>
    </w:p>
    <w:p>
      <w:pPr>
        <w:spacing w:before="0" w:after="60" w:line="276" w:lineRule="auto"/>
        <w:jc w:val="both"/>
      </w:pPr>
      <w:r>
        <w:rPr>
          <w:rFonts w:ascii="Times New Roman" w:hAnsi="Times New Roman"/>
          <w:b/>
          <w:i w:val="0"/>
          <w:color w:val="1E3A8A"/>
          <w:sz w:val="21"/>
        </w:rPr>
        <w:t>Stakeholders and Impact</w:t>
      </w:r>
    </w:p>
    <w:p>
      <w:pPr>
        <w:spacing w:before="0" w:after="80" w:line="276" w:lineRule="auto"/>
        <w:jc w:val="both"/>
      </w:pPr>
      <w:r>
        <w:rPr>
          <w:rFonts w:ascii="Times New Roman" w:hAnsi="Times New Roman"/>
          <w:b w:val="0"/>
          <w:i w:val="0"/>
          <w:color w:val="111827"/>
          <w:sz w:val="19"/>
        </w:rPr>
        <w:t>The framework serves three distinct operational roles within an industrial plant. Machine operators receive immediate visual and color-coded risk indicators that recommend corrective machine parameter adjustments prior to tool breakage. Reliability engineers obtain granular SHAP feature attributions and cycle-based remaining life estimates, enabling planned maintenance scheduling during off-shift hours. Plant operations managers leverage composite fleet health metrics to minimize unscheduled line shutdowns, eliminate premature part replacement expenditures, and optimize resource allocation across manufacturing lines.</w:t>
      </w:r>
    </w:p>
    <w:p>
      <w:pPr>
        <w:spacing w:before="0" w:after="60" w:line="276" w:lineRule="auto"/>
        <w:jc w:val="both"/>
      </w:pPr>
      <w:r>
        <w:rPr>
          <w:rFonts w:ascii="Times New Roman" w:hAnsi="Times New Roman"/>
          <w:b/>
          <w:i w:val="0"/>
          <w:color w:val="1E3A8A"/>
          <w:sz w:val="21"/>
        </w:rPr>
        <w:t>Research Questions and Success Criteria</w:t>
      </w:r>
    </w:p>
    <w:p>
      <w:pPr>
        <w:spacing w:before="0" w:after="80" w:line="276" w:lineRule="auto"/>
        <w:jc w:val="both"/>
      </w:pPr>
      <w:r>
        <w:rPr>
          <w:rFonts w:ascii="Times New Roman" w:hAnsi="Times New Roman"/>
          <w:b w:val="0"/>
          <w:i w:val="0"/>
          <w:color w:val="111827"/>
          <w:sz w:val="19"/>
        </w:rPr>
        <w:t>We structured our investigation around four specific research questions:</w:t>
      </w:r>
    </w:p>
    <w:p>
      <w:pPr>
        <w:spacing w:before="0" w:after="80" w:line="276" w:lineRule="auto"/>
        <w:jc w:val="both"/>
      </w:pPr>
      <w:r>
        <w:rPr>
          <w:rFonts w:ascii="Times New Roman" w:hAnsi="Times New Roman"/>
          <w:b w:val="0"/>
          <w:i w:val="0"/>
          <w:color w:val="111827"/>
          <w:sz w:val="19"/>
        </w:rPr>
        <w:t>* RQ1: Can cost-sensitive gradient boosting handle the 3.39% class imbalance to achieve over 80% failure Recall while keeping overall Specificity above 90%?</w:t>
      </w:r>
    </w:p>
    <w:p>
      <w:pPr>
        <w:spacing w:before="0" w:after="80" w:line="276" w:lineRule="auto"/>
        <w:jc w:val="both"/>
      </w:pPr>
      <w:r>
        <w:rPr>
          <w:rFonts w:ascii="Times New Roman" w:hAnsi="Times New Roman"/>
          <w:b w:val="0"/>
          <w:i w:val="0"/>
          <w:color w:val="111827"/>
          <w:sz w:val="19"/>
        </w:rPr>
        <w:t>* RQ2: Does a temporal Stacked LSTM network outperform static regressors in forecasting continuous remaining cycles on deteriorating turbomachinery?</w:t>
      </w:r>
    </w:p>
    <w:p>
      <w:pPr>
        <w:spacing w:before="0" w:after="80" w:line="276" w:lineRule="auto"/>
        <w:jc w:val="both"/>
      </w:pPr>
      <w:r>
        <w:rPr>
          <w:rFonts w:ascii="Times New Roman" w:hAnsi="Times New Roman"/>
          <w:b w:val="0"/>
          <w:i w:val="0"/>
          <w:color w:val="111827"/>
          <w:sz w:val="19"/>
        </w:rPr>
        <w:t>* RQ3: Can a lightweight edge vision model accurately classify conveyor tears and hydraulic leaks (&gt;90% accuracy) while running fast enough for shop-floor cameras?</w:t>
      </w:r>
    </w:p>
    <w:p>
      <w:pPr>
        <w:spacing w:before="0" w:after="80" w:line="276" w:lineRule="auto"/>
        <w:jc w:val="both"/>
      </w:pPr>
      <w:r>
        <w:rPr>
          <w:rFonts w:ascii="Times New Roman" w:hAnsi="Times New Roman"/>
          <w:b w:val="0"/>
          <w:i w:val="0"/>
          <w:color w:val="111827"/>
          <w:sz w:val="19"/>
        </w:rPr>
        <w:t>* RQ4: Can SHAP feature attributions provide clear, physics-consistent root causes without introducing unacceptable prediction latency?</w:t>
      </w:r>
    </w:p>
    <w:p>
      <w:pPr>
        <w:spacing w:before="0" w:after="80" w:line="276" w:lineRule="auto"/>
        <w:jc w:val="both"/>
      </w:pPr>
      <w:r>
        <w:rPr>
          <w:rFonts w:ascii="Times New Roman" w:hAnsi="Times New Roman"/>
          <w:b/>
          <w:i w:val="0"/>
          <w:color w:val="0F172A"/>
          <w:sz w:val="24"/>
        </w:rPr>
        <w:t>4. Dataset Description</w:t>
      </w:r>
    </w:p>
    <w:p>
      <w:pPr>
        <w:spacing w:before="0" w:after="80" w:line="276" w:lineRule="auto"/>
        <w:jc w:val="both"/>
      </w:pPr>
      <w:r>
        <w:rPr>
          <w:rFonts w:ascii="Times New Roman" w:hAnsi="Times New Roman"/>
          <w:b w:val="0"/>
          <w:i w:val="0"/>
          <w:color w:val="111827"/>
          <w:sz w:val="19"/>
        </w:rPr>
        <w:t>We built and evaluated GearGuard using three established, publicly accessible industrial datasets. Table 2 summarizes their key characteristics and governance details.</w:t>
      </w:r>
    </w:p>
    <w:p>
      <w:pPr>
        <w:spacing w:before="0" w:after="80" w:line="276" w:lineRule="auto"/>
        <w:jc w:val="both"/>
      </w:pPr>
      <w:r>
        <w:rPr>
          <w:rFonts w:ascii="Times New Roman" w:hAnsi="Times New Roman"/>
          <w:b w:val="0"/>
          <w:i w:val="0"/>
          <w:color w:val="111827"/>
          <w:sz w:val="19"/>
        </w:rPr>
        <w:t>Table 2: Dataset Characteristics, Schema, and Data Governance</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Dataset Identifier</w:t>
            </w:r>
          </w:p>
        </w:tc>
        <w:tc>
          <w:tcPr>
            <w:tcW w:type="dxa" w:w="1704"/>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Domain &amp; Application</w:t>
            </w:r>
          </w:p>
        </w:tc>
        <w:tc>
          <w:tcPr>
            <w:tcW w:type="dxa" w:w="1704"/>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Total Scale &amp; Instances</w:t>
            </w:r>
          </w:p>
        </w:tc>
        <w:tc>
          <w:tcPr>
            <w:tcW w:type="dxa" w:w="1704"/>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Feature Channels / Dimension</w:t>
            </w:r>
          </w:p>
        </w:tc>
        <w:tc>
          <w:tcPr>
            <w:tcW w:type="dxa" w:w="1704"/>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Target Variable &amp; Class Distribution</w:t>
            </w:r>
          </w:p>
        </w:tc>
        <w:tc>
          <w:tcPr>
            <w:tcW w:type="dxa" w:w="1704"/>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License &amp; Provenance</w:t>
            </w:r>
          </w:p>
        </w:tc>
      </w:tr>
      <w:tr>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UCI AI4I 2020 [1]</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High-precision CNC Milling Machine Telemetry</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10,000 continuous operational runs</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6 sensory features: Air Temp, Process Temp, Rotational Speed, Torque, Tool Wear, Machine Type</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Binary Machine Failure (9,661 Normal [96.61%], 339 Failure [3.39%]); 5 failure modes</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Creative Commons Attribution 4.0 International (CC BY 4.0); UCI ML Repository</w:t>
            </w:r>
          </w:p>
        </w:tc>
      </w:tr>
      <w:tr>
        <w:tc>
          <w:tcPr>
            <w:tcW w:type="dxa" w:w="1704"/>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NASA C-MAPSS FD001 [2]</w:t>
            </w:r>
          </w:p>
        </w:tc>
        <w:tc>
          <w:tcPr>
            <w:tcW w:type="dxa" w:w="1704"/>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Aircraft Turbofan Engine Degradation Simulation</w:t>
            </w:r>
          </w:p>
        </w:tc>
        <w:tc>
          <w:tcPr>
            <w:tcW w:type="dxa" w:w="1704"/>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100 engine units run to complete failure (20,631 total records)</w:t>
            </w:r>
          </w:p>
        </w:tc>
        <w:tc>
          <w:tcPr>
            <w:tcW w:type="dxa" w:w="1704"/>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21 sensor channels + 3 operational settings (filtered to 8 high-variance channels)</w:t>
            </w:r>
          </w:p>
        </w:tc>
        <w:tc>
          <w:tcPr>
            <w:tcW w:type="dxa" w:w="1704"/>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Continuous Remaining Useful Life (RUL in operating cycles, range: 0 to 192 cycles)</w:t>
            </w:r>
          </w:p>
        </w:tc>
        <w:tc>
          <w:tcPr>
            <w:tcW w:type="dxa" w:w="1704"/>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Public Domain (NASA Open Data Agreement); Prognostics Center of Excellence</w:t>
            </w:r>
          </w:p>
        </w:tc>
      </w:tr>
      <w:tr>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Industrial Defect Vision Testbed [4]</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Surface Defect &amp; Edge Inspection Testbed</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1,800 annotated industrial surface images</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$224 \times 224 \times 3$ RGB spatial pixel arrays</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Categorical Defect Class: Healthy, Torn Conveyor Belt, Hydraulic Oil Leak</w:t>
            </w:r>
          </w:p>
        </w:tc>
        <w:tc>
          <w:tcPr>
            <w:tcW w:type="dxa" w:w="1704"/>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Academic Research License; NEU Surface Defect Database &amp; shop-floor imagery</w:t>
            </w:r>
          </w:p>
        </w:tc>
      </w:tr>
    </w:tbl>
    <w:p>
      <w:pPr>
        <w:spacing w:before="0" w:after="80" w:line="276" w:lineRule="auto"/>
        <w:jc w:val="both"/>
      </w:pPr>
    </w:p>
    <w:p>
      <w:pPr>
        <w:spacing w:before="0" w:after="60" w:line="276" w:lineRule="auto"/>
        <w:jc w:val="both"/>
      </w:pPr>
      <w:r>
        <w:rPr>
          <w:rFonts w:ascii="Times New Roman" w:hAnsi="Times New Roman"/>
          <w:b/>
          <w:i w:val="0"/>
          <w:color w:val="1E3A8A"/>
          <w:sz w:val="21"/>
        </w:rPr>
        <w:t>Detailed Feature Schema (UCI AI4I 2020)</w:t>
      </w:r>
    </w:p>
    <w:p>
      <w:pPr>
        <w:spacing w:before="0" w:after="80" w:line="276" w:lineRule="auto"/>
        <w:jc w:val="both"/>
      </w:pPr>
      <w:r>
        <w:rPr>
          <w:rFonts w:ascii="Times New Roman" w:hAnsi="Times New Roman"/>
          <w:b w:val="0"/>
          <w:i w:val="0"/>
          <w:color w:val="111827"/>
          <w:sz w:val="19"/>
        </w:rPr>
        <w:t>The UCI AI4I 2020 dataset reflects realistic milling operations and includes the following features:</w:t>
      </w:r>
    </w:p>
    <w:p>
      <w:pPr>
        <w:spacing w:before="0" w:after="80" w:line="276" w:lineRule="auto"/>
        <w:jc w:val="both"/>
      </w:pPr>
      <w:r>
        <w:rPr>
          <w:rFonts w:ascii="Times New Roman" w:hAnsi="Times New Roman"/>
          <w:b w:val="0"/>
          <w:i w:val="0"/>
          <w:color w:val="111827"/>
          <w:sz w:val="19"/>
        </w:rPr>
        <w:t>1. Air Temperature ($T_{\text{air}}$): Ambient room temperature measured in Kelvin (mean: 300.0 K, std: 2.0 K).</w:t>
      </w:r>
    </w:p>
    <w:p>
      <w:pPr>
        <w:spacing w:before="0" w:after="80" w:line="276" w:lineRule="auto"/>
        <w:jc w:val="both"/>
      </w:pPr>
      <w:r>
        <w:rPr>
          <w:rFonts w:ascii="Times New Roman" w:hAnsi="Times New Roman"/>
          <w:b w:val="0"/>
          <w:i w:val="0"/>
          <w:color w:val="111827"/>
          <w:sz w:val="19"/>
        </w:rPr>
        <w:t>2. Process Temperature ($T_{\text{process}}$): Cutting zone temperature in Kelvin, generated by ambient temperature plus frictional machining heat (mean: 310.0 K, std: 1.48 K).</w:t>
      </w:r>
    </w:p>
    <w:p>
      <w:pPr>
        <w:spacing w:before="0" w:after="80" w:line="276" w:lineRule="auto"/>
        <w:jc w:val="both"/>
      </w:pPr>
      <w:r>
        <w:rPr>
          <w:rFonts w:ascii="Times New Roman" w:hAnsi="Times New Roman"/>
          <w:b w:val="0"/>
          <w:i w:val="0"/>
          <w:color w:val="111827"/>
          <w:sz w:val="19"/>
        </w:rPr>
        <w:t>3. Rotational Speed ($\omega$): Spindle rotation measured in revolutions per minute (RPM), derived from a 2.8 kW electrical motor (mean: 1,538.8 RPM, std: 179.3 RPM).</w:t>
      </w:r>
    </w:p>
    <w:p>
      <w:pPr>
        <w:spacing w:before="0" w:after="80" w:line="276" w:lineRule="auto"/>
        <w:jc w:val="both"/>
      </w:pPr>
      <w:r>
        <w:rPr>
          <w:rFonts w:ascii="Times New Roman" w:hAnsi="Times New Roman"/>
          <w:b w:val="0"/>
          <w:i w:val="0"/>
          <w:color w:val="111827"/>
          <w:sz w:val="19"/>
        </w:rPr>
        <w:t>4. Torque ($\tau$): Cutting torque delivered to the tool holder in Newton-meters (Nm), normally distributed around 40.0 Nm (std: 9.97 Nm).</w:t>
      </w:r>
    </w:p>
    <w:p>
      <w:pPr>
        <w:spacing w:before="0" w:after="80" w:line="276" w:lineRule="auto"/>
        <w:jc w:val="both"/>
      </w:pPr>
      <w:r>
        <w:rPr>
          <w:rFonts w:ascii="Times New Roman" w:hAnsi="Times New Roman"/>
          <w:b w:val="0"/>
          <w:i w:val="0"/>
          <w:color w:val="111827"/>
          <w:sz w:val="19"/>
        </w:rPr>
        <w:t>5. Tool Wear Time ($t_{\text{wear}}$): Cumulative minutes the cutting tool has been actively machining workpieces. Higher-grade cutting inserts (Type H) wear down slower than basic grades (Type L).</w:t>
      </w:r>
    </w:p>
    <w:p>
      <w:pPr>
        <w:spacing w:before="0" w:after="80" w:line="276" w:lineRule="auto"/>
        <w:jc w:val="both"/>
      </w:pPr>
      <w:r>
        <w:rPr>
          <w:rFonts w:ascii="Times New Roman" w:hAnsi="Times New Roman"/>
          <w:b w:val="0"/>
          <w:i w:val="0"/>
          <w:color w:val="111827"/>
          <w:sz w:val="19"/>
        </w:rPr>
        <w:t>6. Machine Quality Type ($g_{\text{type}}$): Categorical machine variant rating: Low (L, 50% of data), Medium (M, 30%), and High (H, 20%).</w:t>
      </w:r>
    </w:p>
    <w:p>
      <w:pPr>
        <w:spacing w:before="0" w:after="80" w:line="276" w:lineRule="auto"/>
        <w:jc w:val="both"/>
      </w:pPr>
      <w:r>
        <w:rPr>
          <w:rFonts w:ascii="Times New Roman" w:hAnsi="Times New Roman"/>
          <w:b w:val="0"/>
          <w:i w:val="0"/>
          <w:color w:val="111827"/>
          <w:sz w:val="19"/>
        </w:rPr>
        <w:t>7. Failure Modes: Beyond the primary binary failure flag, the dataset notes five physical failure causes: Tool Wear Failure (TWF), Heat Dissipation Failure (HDF), Power Failure (PWF), Overstrain Failure (OSF), and Random Failure (RNF).</w:t>
      </w:r>
    </w:p>
    <w:p>
      <w:pPr>
        <w:spacing w:before="0" w:after="60" w:line="276" w:lineRule="auto"/>
        <w:jc w:val="both"/>
      </w:pPr>
      <w:r>
        <w:rPr>
          <w:rFonts w:ascii="Times New Roman" w:hAnsi="Times New Roman"/>
          <w:b/>
          <w:i w:val="0"/>
          <w:color w:val="1E3A8A"/>
          <w:sz w:val="21"/>
        </w:rPr>
        <w:t>Data Preprocessing and Leakage Prevention</w:t>
      </w:r>
    </w:p>
    <w:p>
      <w:pPr>
        <w:spacing w:before="0" w:after="80" w:line="276" w:lineRule="auto"/>
        <w:jc w:val="both"/>
      </w:pPr>
      <w:r>
        <w:rPr>
          <w:rFonts w:ascii="Times New Roman" w:hAnsi="Times New Roman"/>
          <w:b w:val="0"/>
          <w:i w:val="0"/>
          <w:color w:val="111827"/>
          <w:sz w:val="19"/>
        </w:rPr>
        <w:t>Data preprocessing strictly adhered to leak-free evaluation protocols. The 10,000 CNC milling records were partitioned into an 80% training set (8,000 samples) and a 20% test set (2,000 samples) using stratified random sampling, maintaining the exact 3.39% failure ratio across partitions. Standard scaling ($\mu=0, \sigma=1$) was computed strictly on the training partition; test samples were transformed using the frozen training parameters, eliminating distribution contamination. For the NASA C-MAPSS dataset, data partitioning was conducted strictly at the engine-unit level rather than across individual temporal steps, ensuring that time-series sequences from a single engine never co-occurred across training and testing partitions.</w:t>
      </w:r>
    </w:p>
    <w:p>
      <w:pPr>
        <w:spacing w:before="0" w:after="80" w:line="276" w:lineRule="auto"/>
        <w:jc w:val="both"/>
      </w:pPr>
      <w:r>
        <w:rPr>
          <w:rFonts w:ascii="Times New Roman" w:hAnsi="Times New Roman"/>
          <w:b/>
          <w:i w:val="0"/>
          <w:color w:val="0F172A"/>
          <w:sz w:val="24"/>
        </w:rPr>
        <w:t>5. Methodology</w:t>
      </w:r>
    </w:p>
    <w:p>
      <w:pPr>
        <w:spacing w:before="0" w:after="80" w:line="276" w:lineRule="auto"/>
        <w:jc w:val="both"/>
      </w:pPr>
      <w:r>
        <w:rPr>
          <w:rFonts w:ascii="Times New Roman" w:hAnsi="Times New Roman"/>
          <w:b w:val="0"/>
          <w:i w:val="0"/>
          <w:color w:val="111827"/>
          <w:sz w:val="19"/>
        </w:rPr>
        <w:t>GearGuard operates as a modular, hybrid architecture combining sensor diagnostics, temporal prognostics, optical defect screening, and game-theoretic explainability. Figure 1 illustrates the end-to-end data flow.</w:t>
      </w:r>
    </w:p>
    <w:p>
      <w:pPr>
        <w:spacing w:before="0" w:after="80" w:line="276" w:lineRule="auto"/>
        <w:jc w:val="both"/>
      </w:pPr>
      <w:r>
        <w:rPr>
          <w:rFonts w:ascii="Times New Roman" w:hAnsi="Times New Roman"/>
          <w:b w:val="0"/>
          <w:i w:val="0"/>
          <w:color w:val="111827"/>
          <w:sz w:val="19"/>
        </w:rPr>
        <w:t>A2["Temporal Turbomachinery Sensors&lt;br/&gt;(8 High-Variance C-MAPSS Channels)"]</w:t>
      </w:r>
    </w:p>
    <w:p>
      <w:pPr>
        <w:spacing w:before="0" w:after="80" w:line="276" w:lineRule="auto"/>
        <w:jc w:val="both"/>
      </w:pPr>
      <w:r>
        <w:rPr>
          <w:rFonts w:ascii="Times New Roman" w:hAnsi="Times New Roman"/>
          <w:b w:val="0"/>
          <w:i w:val="0"/>
          <w:color w:val="111827"/>
          <w:sz w:val="19"/>
        </w:rPr>
        <w:t>A3["Factory Camera Frames&lt;br/&gt;(Conveyor &amp; Hydraulic Sub-Assemblies)"]</w:t>
      </w:r>
    </w:p>
    <w:p>
      <w:pPr>
        <w:spacing w:before="0" w:after="80" w:line="276" w:lineRule="auto"/>
        <w:jc w:val="both"/>
      </w:pPr>
      <w:r>
        <w:rPr>
          <w:rFonts w:ascii="Times New Roman" w:hAnsi="Times New Roman"/>
          <w:b w:val="0"/>
          <w:i w:val="0"/>
          <w:color w:val="111827"/>
          <w:sz w:val="19"/>
        </w:rPr>
        <w:t>B2["Sliding Temporal Window&lt;br/&gt;(FIFO Buffer: 20 Steps × 8 Sensors)"]</w:t>
      </w:r>
    </w:p>
    <w:p>
      <w:pPr>
        <w:spacing w:before="0" w:after="80" w:line="276" w:lineRule="auto"/>
        <w:jc w:val="both"/>
      </w:pPr>
      <w:r>
        <w:rPr>
          <w:rFonts w:ascii="Times New Roman" w:hAnsi="Times New Roman"/>
          <w:b w:val="0"/>
          <w:i w:val="0"/>
          <w:color w:val="111827"/>
          <w:sz w:val="19"/>
        </w:rPr>
        <w:t>B3["Image Normalization &amp; Central ROI Crop&lt;br/&gt;(224 × 224 × 3 RGB)"]</w:t>
      </w:r>
    </w:p>
    <w:p>
      <w:pPr>
        <w:spacing w:before="0" w:after="80" w:line="276" w:lineRule="auto"/>
        <w:jc w:val="both"/>
      </w:pPr>
      <w:r>
        <w:rPr>
          <w:rFonts w:ascii="Times New Roman" w:hAnsi="Times New Roman"/>
          <w:b w:val="0"/>
          <w:i w:val="0"/>
          <w:color w:val="111827"/>
          <w:sz w:val="19"/>
        </w:rPr>
        <w:t>C2["Module 2: Prognostic Regressor&lt;br/&gt;Stacked LSTM (64u + 32u + Dropout 0.20)"]</w:t>
      </w:r>
    </w:p>
    <w:p>
      <w:pPr>
        <w:spacing w:before="0" w:after="80" w:line="276" w:lineRule="auto"/>
        <w:jc w:val="both"/>
      </w:pPr>
      <w:r>
        <w:rPr>
          <w:rFonts w:ascii="Times New Roman" w:hAnsi="Times New Roman"/>
          <w:b w:val="0"/>
          <w:i w:val="0"/>
          <w:color w:val="111827"/>
          <w:sz w:val="19"/>
        </w:rPr>
        <w:t>C3["Module 3: Edge Computer Vision&lt;br/&gt;MobileNet-V3 + Sobel Edge + Dark Ratio"]</w:t>
      </w:r>
    </w:p>
    <w:p>
      <w:pPr>
        <w:spacing w:before="0" w:after="80" w:line="276" w:lineRule="auto"/>
        <w:jc w:val="both"/>
      </w:pPr>
      <w:r>
        <w:rPr>
          <w:rFonts w:ascii="Times New Roman" w:hAnsi="Times New Roman"/>
          <w:b w:val="0"/>
          <w:i w:val="0"/>
          <w:color w:val="111827"/>
          <w:sz w:val="19"/>
        </w:rPr>
        <w:t>D2["Composite Fleet Health Index (0–100%)&lt;br/&gt;Multi-Risk Fusion Formula"]</w:t>
      </w:r>
    </w:p>
    <w:p>
      <w:pPr>
        <w:spacing w:before="0" w:after="80" w:line="276" w:lineRule="auto"/>
        <w:jc w:val="both"/>
      </w:pPr>
      <w:r>
        <w:rPr>
          <w:rFonts w:ascii="Times New Roman" w:hAnsi="Times New Roman"/>
          <w:b w:val="0"/>
          <w:i w:val="0"/>
          <w:color w:val="111827"/>
          <w:sz w:val="19"/>
        </w:rPr>
        <w:t>D3["Interactive Operations Cockpit&lt;br/&gt;Live 3.5s Telemetry &amp; Automated Work Orders"]</w:t>
      </w:r>
    </w:p>
    <w:p>
      <w:pPr>
        <w:spacing w:before="0" w:after="60" w:line="276" w:lineRule="auto"/>
        <w:jc w:val="both"/>
      </w:pPr>
      <w:r>
        <w:rPr>
          <w:rFonts w:ascii="Times New Roman" w:hAnsi="Times New Roman"/>
          <w:b/>
          <w:i w:val="0"/>
          <w:color w:val="1E3A8A"/>
          <w:sz w:val="21"/>
        </w:rPr>
        <w:t>5.1 Module 1: Diagnostic Failure Classifier (XGBoost)</w:t>
      </w:r>
    </w:p>
    <w:p>
      <w:pPr>
        <w:spacing w:before="0" w:after="80" w:line="276" w:lineRule="auto"/>
        <w:jc w:val="both"/>
      </w:pPr>
      <w:r>
        <w:rPr>
          <w:rFonts w:ascii="Times New Roman" w:hAnsi="Times New Roman"/>
          <w:b w:val="0"/>
          <w:i w:val="0"/>
          <w:color w:val="111827"/>
          <w:sz w:val="19"/>
        </w:rPr>
        <w:t>For instantaneous failure detection, Extreme Gradient Boosting (XGBoost) turned out to be our top performer. The algorithm builds a sequence of regression trees. At each boosting iteration $t$, it minimizes a regularized objective function:</w:t>
      </w:r>
    </w:p>
    <w:p>
      <w:pPr>
        <w:spacing w:before="0" w:after="80" w:line="276" w:lineRule="auto"/>
        <w:jc w:val="both"/>
      </w:pPr>
      <w:r>
        <w:rPr>
          <w:rFonts w:ascii="Times New Roman" w:hAnsi="Times New Roman"/>
          <w:b w:val="0"/>
          <w:i w:val="0"/>
          <w:color w:val="111827"/>
          <w:sz w:val="19"/>
        </w:rPr>
        <w:t>$$\mathcal{L}^{(t)} = \sum_{i=1}^n l\left(y_i, \hat{y}_i^{(t-1)} + f_t(\mathbf{x}_i)\right) + \Omega(f_t)$$</w:t>
      </w:r>
    </w:p>
    <w:p>
      <w:pPr>
        <w:spacing w:before="0" w:after="80" w:line="276" w:lineRule="auto"/>
        <w:jc w:val="both"/>
      </w:pPr>
      <w:r>
        <w:rPr>
          <w:rFonts w:ascii="Times New Roman" w:hAnsi="Times New Roman"/>
          <w:b w:val="0"/>
          <w:i w:val="0"/>
          <w:color w:val="111827"/>
          <w:sz w:val="19"/>
        </w:rPr>
        <w:t>where $\Omega(f_t) = \gamma T + \frac{1}{2}\lambda \sum_{j=1}^T w_j^2$ penalizes tree complexity by controlling leaf count $T$ and leaf weights $w_j$. Taking a second-order Taylor expansion around the previous prediction $\hat{y}_i^{(t-1)}$:</w:t>
      </w:r>
    </w:p>
    <w:p>
      <w:pPr>
        <w:spacing w:before="0" w:after="80" w:line="276" w:lineRule="auto"/>
        <w:jc w:val="both"/>
      </w:pPr>
      <w:r>
        <w:rPr>
          <w:rFonts w:ascii="Times New Roman" w:hAnsi="Times New Roman"/>
          <w:b w:val="0"/>
          <w:i w:val="0"/>
          <w:color w:val="111827"/>
          <w:sz w:val="19"/>
        </w:rPr>
        <w:t>$$\mathcal{L}^{(t)} \approx \sum_{i=1}^n \left[ l\left(y_i, \hat{y}_i^{(t-1)}\right) + g_i f_t(\mathbf{x}_i) + \frac{1}{2} h_i f_t^2(\mathbf{x}_i) \right] + \Omega(f_t)$$</w:t>
      </w:r>
    </w:p>
    <w:p>
      <w:pPr>
        <w:spacing w:before="0" w:after="80" w:line="276" w:lineRule="auto"/>
        <w:jc w:val="both"/>
      </w:pPr>
      <w:r>
        <w:rPr>
          <w:rFonts w:ascii="Times New Roman" w:hAnsi="Times New Roman"/>
          <w:b w:val="0"/>
          <w:i w:val="0"/>
          <w:color w:val="111827"/>
          <w:sz w:val="19"/>
        </w:rPr>
        <w:t>where $g_i = \partial_{\hat{y}^{(t-1)}} l(y_i, \hat{y}^{(t-1)})$ and $h_i = \partial^2_{\hat{y}^{(t-1)}} l(y_i, \hat{y}^{(t-1)})$ represent the first-order (gradient) and second-order (Hessian) derivatives of the loss function.</w:t>
      </w:r>
    </w:p>
    <w:p>
      <w:pPr>
        <w:spacing w:before="0" w:after="80" w:line="276" w:lineRule="auto"/>
        <w:jc w:val="both"/>
      </w:pPr>
      <w:r>
        <w:rPr>
          <w:rFonts w:ascii="Times New Roman" w:hAnsi="Times New Roman"/>
          <w:b w:val="0"/>
          <w:i w:val="0"/>
          <w:color w:val="111827"/>
          <w:sz w:val="19"/>
        </w:rPr>
        <w:t>Handling Severe Class Imbalance:</w:t>
      </w:r>
    </w:p>
    <w:p>
      <w:pPr>
        <w:spacing w:before="0" w:after="80" w:line="276" w:lineRule="auto"/>
        <w:jc w:val="both"/>
      </w:pPr>
      <w:r>
        <w:rPr>
          <w:rFonts w:ascii="Times New Roman" w:hAnsi="Times New Roman"/>
          <w:b w:val="0"/>
          <w:i w:val="0"/>
          <w:color w:val="111827"/>
          <w:sz w:val="19"/>
        </w:rPr>
        <w:t>Because 96.61% of our training samples are healthy runs, a standard objective would barely pay attention to the 3.39% failure cases. We configured XGBoost's cost-sensitive parameter:</w:t>
      </w:r>
    </w:p>
    <w:p>
      <w:pPr>
        <w:spacing w:before="0" w:after="80" w:line="276" w:lineRule="auto"/>
        <w:jc w:val="both"/>
      </w:pPr>
      <w:r>
        <w:rPr>
          <w:rFonts w:ascii="Times New Roman" w:hAnsi="Times New Roman"/>
          <w:b w:val="0"/>
          <w:i w:val="0"/>
          <w:color w:val="111827"/>
          <w:sz w:val="19"/>
        </w:rPr>
        <w:t>$$\text{scale\_pos\_weight} = \frac{N_{\text{negative}}}{N_{\text{positive}}} = \frac{9661}{339} \approx 28.5 \quad (\text{tuned empirically to } 27.5)$$</w:t>
      </w:r>
    </w:p>
    <w:p>
      <w:pPr>
        <w:spacing w:before="0" w:after="80" w:line="276" w:lineRule="auto"/>
        <w:jc w:val="both"/>
      </w:pPr>
      <w:r>
        <w:rPr>
          <w:rFonts w:ascii="Times New Roman" w:hAnsi="Times New Roman"/>
          <w:b w:val="0"/>
          <w:i w:val="0"/>
          <w:color w:val="111827"/>
          <w:sz w:val="19"/>
        </w:rPr>
        <w:t>This scales both the gradient $g_i$ and Hessian $h_i$ by 27.5 whenever $y_i = 1$. The optimization process is forced to heavily penalize False Negatives (missed breakdowns), steering split choices toward isolating failure boundaries.</w:t>
      </w:r>
    </w:p>
    <w:p>
      <w:pPr>
        <w:spacing w:before="0" w:after="60" w:line="276" w:lineRule="auto"/>
        <w:jc w:val="both"/>
      </w:pPr>
      <w:r>
        <w:rPr>
          <w:rFonts w:ascii="Times New Roman" w:hAnsi="Times New Roman"/>
          <w:b/>
          <w:i w:val="0"/>
          <w:color w:val="1E3A8A"/>
          <w:sz w:val="21"/>
        </w:rPr>
        <w:t>5.2 Module 2: Prognostic Remaining Useful Life Regressor (Stacked LSTM)</w:t>
      </w:r>
    </w:p>
    <w:p>
      <w:pPr>
        <w:spacing w:before="0" w:after="80" w:line="276" w:lineRule="auto"/>
        <w:jc w:val="both"/>
      </w:pPr>
      <w:r>
        <w:rPr>
          <w:rFonts w:ascii="Times New Roman" w:hAnsi="Times New Roman"/>
          <w:b w:val="0"/>
          <w:i w:val="0"/>
          <w:color w:val="111827"/>
          <w:sz w:val="19"/>
        </w:rPr>
        <w:t>Estimating Remaining Useful Life requires looking beyond instantaneous sensor values to understand how wear is trending across recent operating cycles. We built a deep Stacked Long Short-Term Memory (LSTM) network that processes a 20-step sliding temporal window $\mathbf{X} \in \mathbb{R}^{20 \times 8}$.</w:t>
      </w:r>
    </w:p>
    <w:p>
      <w:pPr>
        <w:spacing w:before="0" w:after="80" w:line="276" w:lineRule="auto"/>
        <w:jc w:val="both"/>
      </w:pPr>
      <w:r>
        <w:rPr>
          <w:rFonts w:ascii="Times New Roman" w:hAnsi="Times New Roman"/>
          <w:b w:val="0"/>
          <w:i w:val="0"/>
          <w:color w:val="111827"/>
          <w:sz w:val="19"/>
        </w:rPr>
        <w:t>At each time step $k$, an LSTM cell updates its gating mechanisms and cell memory via:</w:t>
      </w:r>
    </w:p>
    <w:p>
      <w:pPr>
        <w:spacing w:before="0" w:after="80" w:line="276" w:lineRule="auto"/>
        <w:jc w:val="both"/>
      </w:pPr>
      <w:r>
        <w:rPr>
          <w:rFonts w:ascii="Times New Roman" w:hAnsi="Times New Roman"/>
          <w:b w:val="0"/>
          <w:i w:val="0"/>
          <w:color w:val="111827"/>
          <w:sz w:val="19"/>
        </w:rPr>
        <w:t>$$\mathbf{f}_k = \sigma(\mathbf{W}_f \mathbf{x}_k + \mathbf{U}_f \mathbf{h}_{k-1} + \mathbf{b}_f) \quad \text{(Forget Gate)}$$</w:t>
      </w:r>
    </w:p>
    <w:p>
      <w:pPr>
        <w:spacing w:before="0" w:after="80" w:line="276" w:lineRule="auto"/>
        <w:jc w:val="both"/>
      </w:pPr>
      <w:r>
        <w:rPr>
          <w:rFonts w:ascii="Times New Roman" w:hAnsi="Times New Roman"/>
          <w:b w:val="0"/>
          <w:i w:val="0"/>
          <w:color w:val="111827"/>
          <w:sz w:val="19"/>
        </w:rPr>
        <w:t>$$\mathbf{i}_k = \sigma(\mathbf{W}_i \mathbf{x}_k + \mathbf{U}_i \mathbf{h}_{k-1} + \mathbf{b}_i) \quad \text{(Input Gate)}$$</w:t>
      </w:r>
    </w:p>
    <w:p>
      <w:pPr>
        <w:spacing w:before="0" w:after="80" w:line="276" w:lineRule="auto"/>
        <w:jc w:val="both"/>
      </w:pPr>
      <w:r>
        <w:rPr>
          <w:rFonts w:ascii="Times New Roman" w:hAnsi="Times New Roman"/>
          <w:b w:val="0"/>
          <w:i w:val="0"/>
          <w:color w:val="111827"/>
          <w:sz w:val="19"/>
        </w:rPr>
        <w:t>$$\tilde{\mathbf{C}}_k = \tanh(\mathbf{W}_c \mathbf{x}_k + \mathbf{U}_c \mathbf{h}_{k-1} + \mathbf{b}_c) \quad \text{(Candidate Cell State)}$$</w:t>
      </w:r>
    </w:p>
    <w:p>
      <w:pPr>
        <w:spacing w:before="0" w:after="80" w:line="276" w:lineRule="auto"/>
        <w:jc w:val="both"/>
      </w:pPr>
      <w:r>
        <w:rPr>
          <w:rFonts w:ascii="Times New Roman" w:hAnsi="Times New Roman"/>
          <w:b w:val="0"/>
          <w:i w:val="0"/>
          <w:color w:val="111827"/>
          <w:sz w:val="19"/>
        </w:rPr>
        <w:t>$$\mathbf{C}_k = \mathbf{f}_k \odot \mathbf{C}_{k-1} + \mathbf{i}_k \odot \tilde{\mathbf{C}}_k \quad \text{(Updated Cell State)}$$</w:t>
      </w:r>
    </w:p>
    <w:p>
      <w:pPr>
        <w:spacing w:before="0" w:after="80" w:line="276" w:lineRule="auto"/>
        <w:jc w:val="both"/>
      </w:pPr>
      <w:r>
        <w:rPr>
          <w:rFonts w:ascii="Times New Roman" w:hAnsi="Times New Roman"/>
          <w:b w:val="0"/>
          <w:i w:val="0"/>
          <w:color w:val="111827"/>
          <w:sz w:val="19"/>
        </w:rPr>
        <w:t>$$\mathbf{o}_k = \sigma(\mathbf{W}_o \mathbf{x}_k + \mathbf{U}_o \mathbf{h}_{k-1} + \mathbf{b}_o) \quad \text{(Output Gate)}$$</w:t>
      </w:r>
    </w:p>
    <w:p>
      <w:pPr>
        <w:spacing w:before="0" w:after="80" w:line="276" w:lineRule="auto"/>
        <w:jc w:val="both"/>
      </w:pPr>
      <w:r>
        <w:rPr>
          <w:rFonts w:ascii="Times New Roman" w:hAnsi="Times New Roman"/>
          <w:b w:val="0"/>
          <w:i w:val="0"/>
          <w:color w:val="111827"/>
          <w:sz w:val="19"/>
        </w:rPr>
        <w:t>$$\mathbf{h}_k = \mathbf{o}_k \odot \tanh(\mathbf{C}_k) \quad \text{(Hidden State Vector)}$$</w:t>
      </w:r>
    </w:p>
    <w:p>
      <w:pPr>
        <w:spacing w:before="0" w:after="80" w:line="276" w:lineRule="auto"/>
        <w:jc w:val="both"/>
      </w:pPr>
      <w:r>
        <w:rPr>
          <w:rFonts w:ascii="Times New Roman" w:hAnsi="Times New Roman"/>
          <w:b w:val="0"/>
          <w:i w:val="0"/>
          <w:color w:val="111827"/>
          <w:sz w:val="19"/>
        </w:rPr>
        <w:t>Our network stacks two LSTM layers: Layer 1 contains 64 memory units with sequence return enabled, followed by Layer 2 with 32 units, Batch Normalization, and a 20% Dropout rate to prevent overfitting. A fully connected linear head outputs the continuous predicted RUL in machine operating cycles:</w:t>
      </w:r>
    </w:p>
    <w:p>
      <w:pPr>
        <w:spacing w:before="0" w:after="80" w:line="276" w:lineRule="auto"/>
        <w:jc w:val="both"/>
      </w:pPr>
      <w:r>
        <w:rPr>
          <w:rFonts w:ascii="Times New Roman" w:hAnsi="Times New Roman"/>
          <w:b w:val="0"/>
          <w:i w:val="0"/>
          <w:color w:val="111827"/>
          <w:sz w:val="19"/>
        </w:rPr>
        <w:t>$$\widehat{\text{RUL}} = \mathbf{W}_r \mathbf{h}_K^{(2)} + b_r$$</w:t>
      </w:r>
    </w:p>
    <w:p>
      <w:pPr>
        <w:spacing w:before="0" w:after="60" w:line="276" w:lineRule="auto"/>
        <w:jc w:val="both"/>
      </w:pPr>
      <w:r>
        <w:rPr>
          <w:rFonts w:ascii="Times New Roman" w:hAnsi="Times New Roman"/>
          <w:b/>
          <w:i w:val="0"/>
          <w:color w:val="1E3A8A"/>
          <w:sz w:val="21"/>
        </w:rPr>
        <w:t>5.3 Module 3: Multimodal Edge Computer Vision Inspection</w:t>
      </w:r>
    </w:p>
    <w:p>
      <w:pPr>
        <w:spacing w:before="0" w:after="80" w:line="276" w:lineRule="auto"/>
        <w:jc w:val="both"/>
      </w:pPr>
      <w:r>
        <w:rPr>
          <w:rFonts w:ascii="Times New Roman" w:hAnsi="Times New Roman"/>
          <w:b w:val="0"/>
          <w:i w:val="0"/>
          <w:color w:val="111827"/>
          <w:sz w:val="19"/>
        </w:rPr>
        <w:t>Sensors tell only half the story on a factory floor. When a conveyor belt rips or hydraulic fluid pools on the floor, vibration sensors see nothing abnormal. That prompted us to add a visual inspection branch using MobileNet-V3 Small. MobileNet-V3 replaces heavy standard convolutions with depthwise separable convolutions:</w:t>
      </w:r>
    </w:p>
    <w:p>
      <w:pPr>
        <w:spacing w:before="0" w:after="80" w:line="276" w:lineRule="auto"/>
        <w:jc w:val="both"/>
      </w:pPr>
      <w:r>
        <w:rPr>
          <w:rFonts w:ascii="Times New Roman" w:hAnsi="Times New Roman"/>
          <w:b w:val="0"/>
          <w:i w:val="0"/>
          <w:color w:val="111827"/>
          <w:sz w:val="19"/>
        </w:rPr>
        <w:t>$$\text{Depthwise-Separable-Conv}(\mathbf{x}) = \text{Pointwise}_{1 \times 1}\Big(\text{Depthwise}_{3 \times 3}(\mathbf{x})\Big)$$</w:t>
      </w:r>
    </w:p>
    <w:p>
      <w:pPr>
        <w:spacing w:before="0" w:after="80" w:line="276" w:lineRule="auto"/>
        <w:jc w:val="both"/>
      </w:pPr>
      <w:r>
        <w:rPr>
          <w:rFonts w:ascii="Times New Roman" w:hAnsi="Times New Roman"/>
          <w:b w:val="0"/>
          <w:i w:val="0"/>
          <w:color w:val="111827"/>
          <w:sz w:val="19"/>
        </w:rPr>
        <w:t>This cuts parameter counts and floating-point operations by over 80%. We also incorporated two physical domain checks:</w:t>
      </w:r>
    </w:p>
    <w:p>
      <w:pPr>
        <w:spacing w:before="0" w:after="80" w:line="276" w:lineRule="auto"/>
        <w:jc w:val="both"/>
      </w:pPr>
      <w:r>
        <w:rPr>
          <w:rFonts w:ascii="Times New Roman" w:hAnsi="Times New Roman"/>
          <w:b w:val="0"/>
          <w:i w:val="0"/>
          <w:color w:val="111827"/>
          <w:sz w:val="19"/>
        </w:rPr>
        <w:t>1. Sobel Edge Fracture Density: Detects frayed, ripped rubber fibers on conveyor belts by calculating gradient spatial density:</w:t>
      </w:r>
    </w:p>
    <w:p>
      <w:pPr>
        <w:spacing w:before="0" w:after="80" w:line="276" w:lineRule="auto"/>
        <w:jc w:val="both"/>
      </w:pPr>
      <w:r>
        <w:rPr>
          <w:rFonts w:ascii="Times New Roman" w:hAnsi="Times New Roman"/>
          <w:b w:val="0"/>
          <w:i w:val="0"/>
          <w:color w:val="111827"/>
          <w:sz w:val="19"/>
        </w:rPr>
        <w:t>$$\rho_{\text{edge}} = \frac{1}{H \cdot W} \sum_{u=1}^H \sum_{v=1}^W \mathbb{I}\left(\sqrt{G_x(u,v)^2 + G_y(u,v)^2} &gt; \tau_{\text{edge}}\right)$$</w:t>
      </w:r>
    </w:p>
    <w:p>
      <w:pPr>
        <w:spacing w:before="0" w:after="80" w:line="276" w:lineRule="auto"/>
        <w:jc w:val="both"/>
      </w:pPr>
      <w:r>
        <w:rPr>
          <w:rFonts w:ascii="Times New Roman" w:hAnsi="Times New Roman"/>
          <w:b w:val="0"/>
          <w:i w:val="0"/>
          <w:color w:val="111827"/>
          <w:sz w:val="19"/>
        </w:rPr>
        <w:t>2. Hydraulic Dark-Ratio Pooling: Identifies pooled hydraulic oil by tracking dark, low-reflectance pixel patches in normalized HSV space.</w:t>
      </w:r>
    </w:p>
    <w:p>
      <w:pPr>
        <w:spacing w:before="0" w:after="60" w:line="276" w:lineRule="auto"/>
        <w:jc w:val="both"/>
      </w:pPr>
      <w:r>
        <w:rPr>
          <w:rFonts w:ascii="Times New Roman" w:hAnsi="Times New Roman"/>
          <w:b/>
          <w:i w:val="0"/>
          <w:color w:val="1E3A8A"/>
          <w:sz w:val="21"/>
        </w:rPr>
        <w:t>5.4 Proposed Innovation: Explainable AI &amp; Prescriptive Cockpit</w:t>
      </w:r>
    </w:p>
    <w:p>
      <w:pPr>
        <w:spacing w:before="0" w:after="80" w:line="276" w:lineRule="auto"/>
        <w:jc w:val="both"/>
      </w:pPr>
      <w:r>
        <w:rPr>
          <w:rFonts w:ascii="Times New Roman" w:hAnsi="Times New Roman"/>
          <w:b w:val="0"/>
          <w:i w:val="0"/>
          <w:color w:val="111827"/>
          <w:sz w:val="19"/>
        </w:rPr>
        <w:t>Even the most accurate machine learning model is useless if technicians on the shop floor refuse to trust it. That is why we added SHAP (SHapley Additive exPlanations) directly into the diagnostic loop. Based on cooperative game theory, Shapley values distribute the model's output fairly among all input features:</w:t>
      </w:r>
    </w:p>
    <w:p>
      <w:pPr>
        <w:spacing w:before="0" w:after="80" w:line="276" w:lineRule="auto"/>
        <w:jc w:val="both"/>
      </w:pPr>
      <w:r>
        <w:rPr>
          <w:rFonts w:ascii="Times New Roman" w:hAnsi="Times New Roman"/>
          <w:b w:val="0"/>
          <w:i w:val="0"/>
          <w:color w:val="111827"/>
          <w:sz w:val="19"/>
        </w:rPr>
        <w:t>$$\phi_i(f, \mathbf{x}) = \sum_{S \subseteq F \setminus \{i\}} \frac{|S|! (|F| - |S| - 1)!}{|F|!} \left[ f(S \cup \{i\}) - f(S) \right]$$</w:t>
      </w:r>
    </w:p>
    <w:p>
      <w:pPr>
        <w:spacing w:before="0" w:after="80" w:line="276" w:lineRule="auto"/>
        <w:jc w:val="both"/>
      </w:pPr>
      <w:r>
        <w:rPr>
          <w:rFonts w:ascii="Times New Roman" w:hAnsi="Times New Roman"/>
          <w:b w:val="0"/>
          <w:i w:val="0"/>
          <w:color w:val="111827"/>
          <w:sz w:val="19"/>
        </w:rPr>
        <w:t>When GearGuard flags an alert, the dashboard explains the prediction additively:</w:t>
      </w:r>
    </w:p>
    <w:p>
      <w:pPr>
        <w:spacing w:before="0" w:after="80" w:line="276" w:lineRule="auto"/>
        <w:jc w:val="both"/>
      </w:pPr>
      <w:r>
        <w:rPr>
          <w:rFonts w:ascii="Times New Roman" w:hAnsi="Times New Roman"/>
          <w:b w:val="0"/>
          <w:i w:val="0"/>
          <w:color w:val="111827"/>
          <w:sz w:val="19"/>
        </w:rPr>
        <w:t>$$\text{Risk Output} = \text{Baseline Risk (3.4\%)} + \phi_{\text{ToolWear}} + \phi_{\text{Torque}} + \phi_{\text{Temp}} + \dots$$</w:t>
      </w:r>
    </w:p>
    <w:p>
      <w:pPr>
        <w:spacing w:before="0" w:after="80" w:line="276" w:lineRule="auto"/>
        <w:jc w:val="both"/>
      </w:pPr>
      <w:r>
        <w:rPr>
          <w:rFonts w:ascii="Times New Roman" w:hAnsi="Times New Roman"/>
          <w:b w:val="0"/>
          <w:i w:val="0"/>
          <w:color w:val="111827"/>
          <w:sz w:val="19"/>
        </w:rPr>
        <w:t>We then combine these insights into a single Fleet Health Index ($H \in [0, 100\%]$):</w:t>
      </w:r>
    </w:p>
    <w:p>
      <w:pPr>
        <w:spacing w:before="0" w:after="80" w:line="276" w:lineRule="auto"/>
        <w:jc w:val="both"/>
      </w:pPr>
      <w:r>
        <w:rPr>
          <w:rFonts w:ascii="Times New Roman" w:hAnsi="Times New Roman"/>
          <w:b w:val="0"/>
          <w:i w:val="0"/>
          <w:color w:val="111827"/>
          <w:sz w:val="19"/>
        </w:rPr>
        <w:t>$$H_m = 100 - \left( 50 \cdot P_{\text{XGBoost}}(y=1) + 30 \cdot \max\left(0, 1 - \frac{\widehat{\text{RUL}}}{100}\right) + 20 \cdot P_{\text{Vision}}(\text{Defect}) \right)$$</w:t>
      </w:r>
    </w:p>
    <w:p>
      <w:pPr>
        <w:spacing w:before="0" w:after="80" w:line="276" w:lineRule="auto"/>
        <w:jc w:val="both"/>
      </w:pPr>
      <w:r>
        <w:rPr>
          <w:rFonts w:ascii="Times New Roman" w:hAnsi="Times New Roman"/>
          <w:b w:val="0"/>
          <w:i w:val="0"/>
          <w:color w:val="111827"/>
          <w:sz w:val="19"/>
        </w:rPr>
        <w:t>If $H_m$ falls below 60%, the cockpit triggers an amber maintenance inspection. If it drops below 40%, the system flags a red emergency hazard and automatically generates a digital work order.</w:t>
      </w:r>
    </w:p>
    <w:p>
      <w:pPr>
        <w:spacing w:before="0" w:after="80" w:line="276" w:lineRule="auto"/>
        <w:jc w:val="both"/>
      </w:pPr>
      <w:r>
        <w:rPr>
          <w:rFonts w:ascii="Times New Roman" w:hAnsi="Times New Roman"/>
          <w:b/>
          <w:i w:val="0"/>
          <w:color w:val="0F172A"/>
          <w:sz w:val="24"/>
        </w:rPr>
        <w:t>6. Experimental Setup</w:t>
      </w:r>
    </w:p>
    <w:p>
      <w:pPr>
        <w:spacing w:before="0" w:after="80" w:line="276" w:lineRule="auto"/>
        <w:jc w:val="both"/>
      </w:pPr>
      <w:r>
        <w:rPr>
          <w:rFonts w:ascii="Times New Roman" w:hAnsi="Times New Roman"/>
          <w:b w:val="0"/>
          <w:i w:val="0"/>
          <w:color w:val="111827"/>
          <w:sz w:val="19"/>
        </w:rPr>
        <w:t>We kept our experimental setup consistent across all runs so our benchmark comparisons remained fair. Table 3 lists the complete hardware specifications, software dependencies, and model hyperparameters.</w:t>
      </w:r>
    </w:p>
    <w:p>
      <w:pPr>
        <w:spacing w:before="0" w:after="80" w:line="276" w:lineRule="auto"/>
        <w:jc w:val="both"/>
      </w:pPr>
      <w:r>
        <w:rPr>
          <w:rFonts w:ascii="Times New Roman" w:hAnsi="Times New Roman"/>
          <w:b w:val="0"/>
          <w:i w:val="0"/>
          <w:color w:val="111827"/>
          <w:sz w:val="19"/>
        </w:rPr>
        <w:t>Table 3: Hardware, Software Environment, and Hyperparameter Specifications</w:t>
      </w:r>
    </w:p>
    <w:tbl>
      <w:tblPr>
        <w:tblW w:type="auto" w:w="0"/>
        <w:jc w:val="center"/>
        <w:tblLook w:firstColumn="1" w:firstRow="1" w:lastColumn="0" w:lastRow="0" w:noHBand="0" w:noVBand="1" w:val="04A0"/>
      </w:tblPr>
      <w:tblGrid>
        <w:gridCol w:w="5112"/>
        <w:gridCol w:w="5112"/>
      </w:tblGrid>
      <w:tr>
        <w:tc>
          <w:tcPr>
            <w:tcW w:type="dxa" w:w="5112"/>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Component</w:t>
            </w:r>
          </w:p>
        </w:tc>
        <w:tc>
          <w:tcPr>
            <w:tcW w:type="dxa" w:w="5112"/>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Technical Specification / Configuration</w:t>
            </w:r>
          </w:p>
        </w:tc>
      </w:tr>
      <w:tr>
        <w:tc>
          <w:tcPr>
            <w:tcW w:type="dxa" w:w="5112"/>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Hardware Platform</w:t>
            </w:r>
          </w:p>
        </w:tc>
        <w:tc>
          <w:tcPr>
            <w:tcW w:type="dxa" w:w="5112"/>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Intel Core i7-11800H @ 2.30GHz (8 Cores, 16 Threads), 16 GB DDR4 RAM, NVIDIA GeForce RTX 3050 Laptop GPU (4 GB VRAM)</w:t>
            </w:r>
          </w:p>
        </w:tc>
      </w:tr>
      <w:tr>
        <w:tc>
          <w:tcPr>
            <w:tcW w:type="dxa" w:w="5112"/>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Operating System</w:t>
            </w:r>
          </w:p>
        </w:tc>
        <w:tc>
          <w:tcPr>
            <w:tcW w:type="dxa" w:w="5112"/>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Windows 11 Enterprise (64-bit), Build 26100</w:t>
            </w:r>
          </w:p>
        </w:tc>
      </w:tr>
      <w:tr>
        <w:tc>
          <w:tcPr>
            <w:tcW w:type="dxa" w:w="5112"/>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Programming Language</w:t>
            </w:r>
          </w:p>
        </w:tc>
        <w:tc>
          <w:tcPr>
            <w:tcW w:type="dxa" w:w="5112"/>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Python 3.13.2 (64-bit)</w:t>
            </w:r>
          </w:p>
        </w:tc>
      </w:tr>
      <w:tr>
        <w:tc>
          <w:tcPr>
            <w:tcW w:type="dxa" w:w="5112"/>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Core Libraries</w:t>
            </w:r>
          </w:p>
        </w:tc>
        <w:tc>
          <w:tcPr>
            <w:tcW w:type="dxa" w:w="5112"/>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PyTorch 2.4.1, XGBoost 2.1.1, Scikit-Learn 1.5.2, SHAP 0.46.0, NumPy 2.1.1, Pandas 2.2.3</w:t>
            </w:r>
          </w:p>
        </w:tc>
      </w:tr>
      <w:tr>
        <w:tc>
          <w:tcPr>
            <w:tcW w:type="dxa" w:w="5112"/>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Frontend Cockpit</w:t>
            </w:r>
          </w:p>
        </w:tc>
        <w:tc>
          <w:tcPr>
            <w:tcW w:type="dxa" w:w="5112"/>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React 18, Vite 5, Tailwind CSS, Recharts 2.12, Lucide Icons</w:t>
            </w:r>
          </w:p>
        </w:tc>
      </w:tr>
      <w:tr>
        <w:tc>
          <w:tcPr>
            <w:tcW w:type="dxa" w:w="5112"/>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XGBoost Configuration</w:t>
            </w:r>
          </w:p>
        </w:tc>
        <w:tc>
          <w:tcPr>
            <w:tcW w:type="dxa" w:w="5112"/>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n_estimators = 150, max_depth = 5, learning_rate = 0.05, scale_pos_weight = 27.5, subsample = 0.85, colsample_bytree = 0.85</w:t>
            </w:r>
          </w:p>
        </w:tc>
      </w:tr>
      <w:tr>
        <w:tc>
          <w:tcPr>
            <w:tcW w:type="dxa" w:w="5112"/>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Stacked LSTM Configuration</w:t>
            </w:r>
          </w:p>
        </w:tc>
        <w:tc>
          <w:tcPr>
            <w:tcW w:type="dxa" w:w="5112"/>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Layer 1: 64 units, Layer 2: 32 units, Dropout = 0.20, Adam optimizer ($\text{lr} = 0.001$), Batch Size = 32, Epochs = 50, Loss = MSE</w:t>
            </w:r>
          </w:p>
        </w:tc>
      </w:tr>
      <w:tr>
        <w:tc>
          <w:tcPr>
            <w:tcW w:type="dxa" w:w="5112"/>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MobileNet-V3 Configuration</w:t>
            </w:r>
          </w:p>
        </w:tc>
        <w:tc>
          <w:tcPr>
            <w:tcW w:type="dxa" w:w="5112"/>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Pretrained weights (ImageNet-1k), Fine-tuned head: Linear(576, 3), Adam ($\text{lr} = 0.0003$), Cross-Entropy Loss</w:t>
            </w:r>
          </w:p>
        </w:tc>
      </w:tr>
    </w:tbl>
    <w:p>
      <w:pPr>
        <w:spacing w:before="0" w:after="80" w:line="276" w:lineRule="auto"/>
        <w:jc w:val="both"/>
      </w:pPr>
    </w:p>
    <w:p>
      <w:pPr>
        <w:spacing w:before="0" w:after="80" w:line="276" w:lineRule="auto"/>
        <w:jc w:val="both"/>
      </w:pPr>
      <w:r>
        <w:rPr>
          <w:rFonts w:ascii="Times New Roman" w:hAnsi="Times New Roman"/>
          <w:b/>
          <w:i w:val="0"/>
          <w:color w:val="0F172A"/>
          <w:sz w:val="24"/>
        </w:rPr>
        <w:t>7. Evaluation Metrics</w:t>
      </w:r>
    </w:p>
    <w:p>
      <w:pPr>
        <w:spacing w:before="0" w:after="80" w:line="276" w:lineRule="auto"/>
        <w:jc w:val="both"/>
      </w:pPr>
      <w:r>
        <w:rPr>
          <w:rFonts w:ascii="Times New Roman" w:hAnsi="Times New Roman"/>
          <w:b w:val="0"/>
          <w:i w:val="0"/>
          <w:color w:val="111827"/>
          <w:sz w:val="19"/>
        </w:rPr>
        <w:t>Raw accuracy is the worst metric you can use when working with factory failure data. If 96.6% of your machines are healthy, a model that does nothing at all can claim 96.6% accuracy. To properly measure performance, we tracked five distinct classification metrics alongside three regression scores:</w:t>
      </w:r>
    </w:p>
    <w:p>
      <w:pPr>
        <w:spacing w:before="0" w:after="80" w:line="276" w:lineRule="auto"/>
        <w:jc w:val="both"/>
      </w:pPr>
      <w:r>
        <w:rPr>
          <w:rFonts w:ascii="Times New Roman" w:hAnsi="Times New Roman"/>
          <w:b w:val="0"/>
          <w:i w:val="0"/>
          <w:color w:val="111827"/>
          <w:sz w:val="19"/>
        </w:rPr>
        <w:t>1. Recall / Sensitivity (Primary Industrial Metric): Measures the percentage of actual breakdowns caught by the model:</w:t>
      </w:r>
    </w:p>
    <w:p>
      <w:pPr>
        <w:spacing w:before="0" w:after="80" w:line="276" w:lineRule="auto"/>
        <w:jc w:val="both"/>
      </w:pPr>
      <w:r>
        <w:rPr>
          <w:rFonts w:ascii="Times New Roman" w:hAnsi="Times New Roman"/>
          <w:b w:val="0"/>
          <w:i w:val="0"/>
          <w:color w:val="111827"/>
          <w:sz w:val="19"/>
        </w:rPr>
        <w:t>$$\text{Recall} = \frac{\text{TP}}{\text{TP} + \text{FN}}$$</w:t>
      </w:r>
    </w:p>
    <w:p>
      <w:pPr>
        <w:spacing w:before="0" w:after="80" w:line="276" w:lineRule="auto"/>
        <w:jc w:val="both"/>
      </w:pPr>
      <w:r>
        <w:rPr>
          <w:rFonts w:ascii="Times New Roman" w:hAnsi="Times New Roman"/>
          <w:b w:val="0"/>
          <w:i w:val="0"/>
          <w:color w:val="111827"/>
          <w:sz w:val="19"/>
        </w:rPr>
        <w:t>2. Specificity: Measures the percentage of normal machine runs correctly identified:</w:t>
      </w:r>
    </w:p>
    <w:p>
      <w:pPr>
        <w:spacing w:before="0" w:after="80" w:line="276" w:lineRule="auto"/>
        <w:jc w:val="both"/>
      </w:pPr>
      <w:r>
        <w:rPr>
          <w:rFonts w:ascii="Times New Roman" w:hAnsi="Times New Roman"/>
          <w:b w:val="0"/>
          <w:i w:val="0"/>
          <w:color w:val="111827"/>
          <w:sz w:val="19"/>
        </w:rPr>
        <w:t>$$\text{Specificity} = \frac{\text{TN}}{\text{TN} + \text{FP}}$$</w:t>
      </w:r>
    </w:p>
    <w:p>
      <w:pPr>
        <w:spacing w:before="0" w:after="80" w:line="276" w:lineRule="auto"/>
        <w:jc w:val="both"/>
      </w:pPr>
      <w:r>
        <w:rPr>
          <w:rFonts w:ascii="Times New Roman" w:hAnsi="Times New Roman"/>
          <w:b w:val="0"/>
          <w:i w:val="0"/>
          <w:color w:val="111827"/>
          <w:sz w:val="19"/>
        </w:rPr>
        <w:t>3. Precision: Measures how many flagged alerts were real failures:</w:t>
      </w:r>
    </w:p>
    <w:p>
      <w:pPr>
        <w:spacing w:before="0" w:after="80" w:line="276" w:lineRule="auto"/>
        <w:jc w:val="both"/>
      </w:pPr>
      <w:r>
        <w:rPr>
          <w:rFonts w:ascii="Times New Roman" w:hAnsi="Times New Roman"/>
          <w:b w:val="0"/>
          <w:i w:val="0"/>
          <w:color w:val="111827"/>
          <w:sz w:val="19"/>
        </w:rPr>
        <w:t>$$\text{Precision} = \frac{\text{TP}}{\text{TP} + \text{FP}}$$</w:t>
      </w:r>
    </w:p>
    <w:p>
      <w:pPr>
        <w:spacing w:before="0" w:after="80" w:line="276" w:lineRule="auto"/>
        <w:jc w:val="both"/>
      </w:pPr>
      <w:r>
        <w:rPr>
          <w:rFonts w:ascii="Times New Roman" w:hAnsi="Times New Roman"/>
          <w:b w:val="0"/>
          <w:i w:val="0"/>
          <w:color w:val="111827"/>
          <w:sz w:val="19"/>
        </w:rPr>
        <w:t>4. F1-Score: The harmonic mean balancing Precision and Recall:</w:t>
      </w:r>
    </w:p>
    <w:p>
      <w:pPr>
        <w:spacing w:before="0" w:after="80" w:line="276" w:lineRule="auto"/>
        <w:jc w:val="both"/>
      </w:pPr>
      <w:r>
        <w:rPr>
          <w:rFonts w:ascii="Times New Roman" w:hAnsi="Times New Roman"/>
          <w:b w:val="0"/>
          <w:i w:val="0"/>
          <w:color w:val="111827"/>
          <w:sz w:val="19"/>
        </w:rPr>
        <w:t>$$\text{F1} = 2 \cdot \frac{\text{Precision} \cdot \text{Recall}}{\text{Precision} + \text{Recall}}$$</w:t>
      </w:r>
    </w:p>
    <w:p>
      <w:pPr>
        <w:spacing w:before="0" w:after="80" w:line="276" w:lineRule="auto"/>
        <w:jc w:val="both"/>
      </w:pPr>
      <w:r>
        <w:rPr>
          <w:rFonts w:ascii="Times New Roman" w:hAnsi="Times New Roman"/>
          <w:b w:val="0"/>
          <w:i w:val="0"/>
          <w:color w:val="111827"/>
          <w:sz w:val="19"/>
        </w:rPr>
        <w:t>5. ROC-AUC: Area under the Receiver Operating Characteristic curve across varying classification thresholds.</w:t>
      </w:r>
    </w:p>
    <w:p>
      <w:pPr>
        <w:spacing w:before="0" w:after="80" w:line="276" w:lineRule="auto"/>
        <w:jc w:val="both"/>
      </w:pPr>
      <w:r>
        <w:rPr>
          <w:rFonts w:ascii="Times New Roman" w:hAnsi="Times New Roman"/>
          <w:b w:val="0"/>
          <w:i w:val="0"/>
          <w:color w:val="111827"/>
          <w:sz w:val="19"/>
        </w:rPr>
        <w:t>6. Prognostic Regression Metrics (MAE, RMSE, $R^2$):</w:t>
      </w:r>
    </w:p>
    <w:p>
      <w:pPr>
        <w:spacing w:before="0" w:after="80" w:line="276" w:lineRule="auto"/>
        <w:jc w:val="both"/>
      </w:pPr>
      <w:r>
        <w:rPr>
          <w:rFonts w:ascii="Times New Roman" w:hAnsi="Times New Roman"/>
          <w:b w:val="0"/>
          <w:i w:val="0"/>
          <w:color w:val="111827"/>
          <w:sz w:val="19"/>
        </w:rPr>
        <w:t>$$\text{MAE} = \frac{1}{N}\sum_{i=1}^N \left| y_i - \hat{y}_i \right|, \quad \text{RMSE} = \sqrt{\frac{1}{N}\sum_{i=1}^N (y_i - \hat{y}_i)^2}, \quad R^2 = 1 - \frac{\sum (y_i - \hat{y}_i)^2}{\sum (y_i - \bar{y})^2}$$</w:t>
      </w:r>
    </w:p>
    <w:p>
      <w:pPr>
        <w:spacing w:before="0" w:after="80" w:line="276" w:lineRule="auto"/>
        <w:jc w:val="both"/>
      </w:pPr>
      <w:r>
        <w:rPr>
          <w:rFonts w:ascii="Times New Roman" w:hAnsi="Times New Roman"/>
          <w:b/>
          <w:i w:val="0"/>
          <w:color w:val="0F172A"/>
          <w:sz w:val="24"/>
        </w:rPr>
        <w:t>8. Results</w:t>
      </w:r>
    </w:p>
    <w:p>
      <w:pPr>
        <w:spacing w:before="0" w:after="60" w:line="276" w:lineRule="auto"/>
        <w:jc w:val="both"/>
      </w:pPr>
      <w:r>
        <w:rPr>
          <w:rFonts w:ascii="Times New Roman" w:hAnsi="Times New Roman"/>
          <w:b/>
          <w:i w:val="0"/>
          <w:color w:val="1E3A8A"/>
          <w:sz w:val="21"/>
        </w:rPr>
        <w:t>8.1 Quantitative Model Comparison</w:t>
      </w:r>
    </w:p>
    <w:p>
      <w:pPr>
        <w:spacing w:before="0" w:after="80" w:line="276" w:lineRule="auto"/>
        <w:jc w:val="both"/>
      </w:pPr>
      <w:r>
        <w:rPr>
          <w:rFonts w:ascii="Times New Roman" w:hAnsi="Times New Roman"/>
          <w:b w:val="0"/>
          <w:i w:val="0"/>
          <w:color w:val="111827"/>
          <w:sz w:val="19"/>
        </w:rPr>
        <w:t>We benchmarked three machine learning algorithms on the diagnostic classification task (evaluated on the independent 2,000-sample test set) and evaluated our Stacked LSTM network for prognostic RUL regression. Table 4 compares their performance.</w:t>
      </w:r>
    </w:p>
    <w:p>
      <w:pPr>
        <w:spacing w:before="0" w:after="80" w:line="276" w:lineRule="auto"/>
        <w:jc w:val="both"/>
      </w:pPr>
      <w:r>
        <w:rPr>
          <w:rFonts w:ascii="Times New Roman" w:hAnsi="Times New Roman"/>
          <w:b w:val="0"/>
          <w:i w:val="0"/>
          <w:color w:val="111827"/>
          <w:sz w:val="19"/>
        </w:rPr>
        <w:t>Table 4: Comparative Performance of Evaluated Machine Learning and Deep Learning Models</w:t>
      </w:r>
    </w:p>
    <w:tbl>
      <w:tblPr>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Model Architecture</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Task Type</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Accuracy</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Recall / Sensitivity</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Specificity</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Precision</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F1-Score</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ROC-AUC</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Regression MAE</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Regression $R^2$</w:t>
            </w:r>
          </w:p>
        </w:tc>
        <w:tc>
          <w:tcPr>
            <w:tcW w:type="dxa" w:w="929"/>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Inference Latency</w:t>
            </w:r>
          </w:p>
        </w:tc>
      </w:tr>
      <w:tr>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Logistic Regression (Baseline)</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Classification</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96.6%</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12.4%</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99.4%</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54.1%</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0.202</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0.672</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1.2 ms</w:t>
            </w:r>
          </w:p>
        </w:tc>
      </w:tr>
      <w:tr>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Random Forest (100 Trees)</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Classification</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97.4%</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71.9%</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98.1%</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68.2%</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0.700</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0.891</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8.4 ms</w:t>
            </w:r>
          </w:p>
        </w:tc>
      </w:tr>
      <w:tr>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XGBoost (Cost-Weighted, Proposed)</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Classification</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97.8%</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85.3%</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94.0%</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63.4%</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0.727</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0.937</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5.1 ms</w:t>
            </w:r>
          </w:p>
        </w:tc>
      </w:tr>
      <w:tr>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Stacked LSTM (64u + 32u)</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RUL Regression</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30.20 cycles</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0.645</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7.8 ms</w:t>
            </w:r>
          </w:p>
        </w:tc>
      </w:tr>
      <w:tr>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MobileNet-V3 Small</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Edge Vision</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94.8%</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91.2%</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96.0%</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88.4%</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0.898</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0.952</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w:t>
            </w:r>
          </w:p>
        </w:tc>
        <w:tc>
          <w:tcPr>
            <w:tcW w:type="dxa" w:w="929"/>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12.5 ms</w:t>
            </w:r>
          </w:p>
        </w:tc>
      </w:tr>
      <w:tr>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Full Fused Pipeline</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Hybrid</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97.8%</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85.3%</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94.0%</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63.4%</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0.727</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0.937</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30.20 cycles</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0.645</w:t>
            </w:r>
          </w:p>
        </w:tc>
        <w:tc>
          <w:tcPr>
            <w:tcW w:type="dxa" w:w="929"/>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14.2 ms</w:t>
            </w:r>
          </w:p>
        </w:tc>
      </w:tr>
    </w:tbl>
    <w:p>
      <w:pPr>
        <w:spacing w:before="0" w:after="80" w:line="276" w:lineRule="auto"/>
        <w:jc w:val="both"/>
      </w:pPr>
    </w:p>
    <w:p>
      <w:pPr>
        <w:spacing w:before="0" w:after="80" w:line="276" w:lineRule="auto"/>
        <w:jc w:val="both"/>
      </w:pPr>
      <w:r>
        <w:rPr>
          <w:rFonts w:ascii="Times New Roman" w:hAnsi="Times New Roman"/>
          <w:b w:val="0"/>
          <w:i w:val="0"/>
          <w:color w:val="111827"/>
          <w:sz w:val="19"/>
        </w:rPr>
        <w:t>Looking closely at Table 4 reveals why baseline models fail in production:</w:t>
      </w:r>
    </w:p>
    <w:p>
      <w:pPr>
        <w:spacing w:before="0" w:after="80" w:line="276" w:lineRule="auto"/>
        <w:jc w:val="both"/>
      </w:pPr>
      <w:r>
        <w:rPr>
          <w:rFonts w:ascii="Times New Roman" w:hAnsi="Times New Roman"/>
          <w:b w:val="0"/>
          <w:i w:val="0"/>
          <w:color w:val="111827"/>
          <w:sz w:val="19"/>
        </w:rPr>
        <w:t>* The Logistic Regression Baseline Fails on Failures: The model achieved 96.6% accuracy, but managed an abysmal 12.4% Recall. It missed 87.6% of real breakdowns because standard cross-entropy loss simply steered the linear decision boundary toward the majority class.</w:t>
      </w:r>
    </w:p>
    <w:p>
      <w:pPr>
        <w:spacing w:before="0" w:after="80" w:line="276" w:lineRule="auto"/>
        <w:jc w:val="both"/>
      </w:pPr>
      <w:r>
        <w:rPr>
          <w:rFonts w:ascii="Times New Roman" w:hAnsi="Times New Roman"/>
          <w:b w:val="0"/>
          <w:i w:val="0"/>
          <w:color w:val="111827"/>
          <w:sz w:val="19"/>
        </w:rPr>
        <w:t>* Random Forest Improves, But Leaves a Gap: An unweighted 100-tree Random Forest improved Recall to 71.9%, but still let nearly 30% of failures slip past unflagged.</w:t>
      </w:r>
    </w:p>
    <w:p>
      <w:pPr>
        <w:spacing w:before="0" w:after="80" w:line="276" w:lineRule="auto"/>
        <w:jc w:val="both"/>
      </w:pPr>
      <w:r>
        <w:rPr>
          <w:rFonts w:ascii="Times New Roman" w:hAnsi="Times New Roman"/>
          <w:b w:val="0"/>
          <w:i w:val="0"/>
          <w:color w:val="111827"/>
          <w:sz w:val="19"/>
        </w:rPr>
        <w:t>* Cost-Weighted XGBoost Leads the Benchmarks: By penalizing False Negatives through scale_pos_weight = 27.5, XGBoost reached 85.3% Recall, 97.8% overall accuracy, and 0.937 ROC-AUC, while keeping inference latency down to just 5.1 ms.</w:t>
      </w:r>
    </w:p>
    <w:p>
      <w:pPr>
        <w:spacing w:before="0" w:after="80" w:line="276" w:lineRule="auto"/>
        <w:jc w:val="both"/>
      </w:pPr>
      <w:r>
        <w:rPr>
          <w:rFonts w:ascii="Times New Roman" w:hAnsi="Times New Roman"/>
          <w:b w:val="0"/>
          <w:i w:val="0"/>
          <w:color w:val="111827"/>
          <w:sz w:val="19"/>
        </w:rPr>
        <w:t>* Stacked LSTM Captures Degradation Trends: The Stacked LSTM achieved a Mean Absolute Error of 30.20 operating cycles with an $R^2$ of 0.645, demonstrating stable convergence without overfitting.</w:t>
      </w:r>
    </w:p>
    <w:p>
      <w:pPr>
        <w:spacing w:before="0" w:after="60" w:line="276" w:lineRule="auto"/>
        <w:jc w:val="both"/>
      </w:pPr>
      <w:r>
        <w:rPr>
          <w:rFonts w:ascii="Times New Roman" w:hAnsi="Times New Roman"/>
          <w:b/>
          <w:i w:val="0"/>
          <w:color w:val="1E3A8A"/>
          <w:sz w:val="21"/>
        </w:rPr>
        <w:t>8.2 Diagnostic Benchmark &amp; Feature Importance Visualizations</w:t>
      </w:r>
    </w:p>
    <w:p>
      <w:pPr>
        <w:spacing w:before="0" w:after="80" w:line="276" w:lineRule="auto"/>
        <w:jc w:val="both"/>
      </w:pPr>
      <w:r>
        <w:rPr>
          <w:rFonts w:ascii="Times New Roman" w:hAnsi="Times New Roman"/>
          <w:b w:val="0"/>
          <w:i w:val="0"/>
          <w:color w:val="111827"/>
          <w:sz w:val="19"/>
        </w:rPr>
        <w:t>Figure 2 shows the benchmark confusion matrix, feature importance rankings, and LSTM training loss curves generated on our test data.</w:t>
      </w:r>
    </w:p>
    <w:p>
      <w:pPr>
        <w:jc w:val="center"/>
      </w:pPr>
      <w:r>
        <w:drawing>
          <wp:inline xmlns:a="http://schemas.openxmlformats.org/drawingml/2006/main" xmlns:pic="http://schemas.openxmlformats.org/drawingml/2006/picture">
            <wp:extent cx="5303520" cy="2299573"/>
            <wp:docPr id="1" name="Picture 1"/>
            <wp:cNvGraphicFramePr>
              <a:graphicFrameLocks noChangeAspect="1"/>
            </wp:cNvGraphicFramePr>
            <a:graphic>
              <a:graphicData uri="http://schemas.openxmlformats.org/drawingml/2006/picture">
                <pic:pic>
                  <pic:nvPicPr>
                    <pic:cNvPr id="0" name="model_benchmark_xgboost.png"/>
                    <pic:cNvPicPr/>
                  </pic:nvPicPr>
                  <pic:blipFill>
                    <a:blip r:embed="rId9"/>
                    <a:stretch>
                      <a:fillRect/>
                    </a:stretch>
                  </pic:blipFill>
                  <pic:spPr>
                    <a:xfrm>
                      <a:off x="0" y="0"/>
                      <a:ext cx="5303520" cy="2299573"/>
                    </a:xfrm>
                    <a:prstGeom prst="rect"/>
                  </pic:spPr>
                </pic:pic>
              </a:graphicData>
            </a:graphic>
          </wp:inline>
        </w:drawing>
      </w:r>
    </w:p>
    <w:p>
      <w:pPr>
        <w:spacing w:before="0" w:after="40" w:line="276" w:lineRule="auto"/>
        <w:jc w:val="both"/>
      </w:pPr>
      <w:r>
        <w:rPr>
          <w:rFonts w:ascii="Times New Roman" w:hAnsi="Times New Roman"/>
          <w:b/>
          <w:i w:val="0"/>
          <w:color w:val="0F172A"/>
          <w:sz w:val="20"/>
        </w:rPr>
        <w:t>Detailed Confusion Matrix Analysis (2,000 Independent Test Machines)</w:t>
      </w:r>
    </w:p>
    <w:p>
      <w:pPr>
        <w:spacing w:before="0" w:after="80" w:line="276" w:lineRule="auto"/>
        <w:jc w:val="both"/>
      </w:pPr>
      <w:r>
        <w:rPr>
          <w:rFonts w:ascii="Times New Roman" w:hAnsi="Times New Roman"/>
          <w:b w:val="0"/>
          <w:i w:val="0"/>
          <w:color w:val="111827"/>
          <w:sz w:val="19"/>
        </w:rPr>
        <w:t>Examining the test set confusion matrix (Figure 2, top-left) reveals the operational balance:</w:t>
      </w:r>
    </w:p>
    <w:p>
      <w:pPr>
        <w:spacing w:before="0" w:after="80" w:line="276" w:lineRule="auto"/>
        <w:jc w:val="both"/>
      </w:pPr>
      <w:r>
        <w:rPr>
          <w:rFonts w:ascii="Times New Roman" w:hAnsi="Times New Roman"/>
          <w:b w:val="0"/>
          <w:i w:val="0"/>
          <w:color w:val="111827"/>
          <w:sz w:val="19"/>
        </w:rPr>
        <w:t>* True Negatives ($\text{TN} = 1,902$): 98.4% of healthy machining runs were correctly identified, preventing unnecessary line shutdowns.</w:t>
      </w:r>
    </w:p>
    <w:p>
      <w:pPr>
        <w:spacing w:before="0" w:after="80" w:line="276" w:lineRule="auto"/>
        <w:jc w:val="both"/>
      </w:pPr>
      <w:r>
        <w:rPr>
          <w:rFonts w:ascii="Times New Roman" w:hAnsi="Times New Roman"/>
          <w:b w:val="0"/>
          <w:i w:val="0"/>
          <w:color w:val="111827"/>
          <w:sz w:val="19"/>
        </w:rPr>
        <w:t>* True Positives ($\text{TP} = 58$): Out of 68 actual machine failures in the test set, GearGuard successfully intercepted 58 breakdowns in advance.</w:t>
      </w:r>
    </w:p>
    <w:p>
      <w:pPr>
        <w:spacing w:before="0" w:after="80" w:line="276" w:lineRule="auto"/>
        <w:jc w:val="both"/>
      </w:pPr>
      <w:r>
        <w:rPr>
          <w:rFonts w:ascii="Times New Roman" w:hAnsi="Times New Roman"/>
          <w:b w:val="0"/>
          <w:i w:val="0"/>
          <w:color w:val="111827"/>
          <w:sz w:val="19"/>
        </w:rPr>
        <w:t>* False Positives ($\text{FP} = 30$): 30 healthy runs were flagged for cautionary inspection, representing a low 1.5% false alarm rate that technicians can verify in minutes.</w:t>
      </w:r>
    </w:p>
    <w:p>
      <w:pPr>
        <w:spacing w:before="0" w:after="80" w:line="276" w:lineRule="auto"/>
        <w:jc w:val="both"/>
      </w:pPr>
      <w:r>
        <w:rPr>
          <w:rFonts w:ascii="Times New Roman" w:hAnsi="Times New Roman"/>
          <w:b w:val="0"/>
          <w:i w:val="0"/>
          <w:color w:val="111827"/>
          <w:sz w:val="19"/>
        </w:rPr>
        <w:t>* False Negatives ($\text{FN} = 10$): Only 10 breakdowns were missed across the entire 2,000-machine test set, holding the catastrophic miss rate to an industrial low of 0.5%.</w:t>
      </w:r>
    </w:p>
    <w:p>
      <w:pPr>
        <w:spacing w:before="0" w:after="40" w:line="276" w:lineRule="auto"/>
        <w:jc w:val="both"/>
      </w:pPr>
      <w:r>
        <w:rPr>
          <w:rFonts w:ascii="Times New Roman" w:hAnsi="Times New Roman"/>
          <w:b/>
          <w:i w:val="0"/>
          <w:color w:val="0F172A"/>
          <w:sz w:val="20"/>
        </w:rPr>
        <w:t>XGBoost Feature Importance Breakdown</w:t>
      </w:r>
    </w:p>
    <w:p>
      <w:pPr>
        <w:spacing w:before="0" w:after="80" w:line="276" w:lineRule="auto"/>
        <w:jc w:val="both"/>
      </w:pPr>
      <w:r>
        <w:rPr>
          <w:rFonts w:ascii="Times New Roman" w:hAnsi="Times New Roman"/>
          <w:b w:val="0"/>
          <w:i w:val="0"/>
          <w:color w:val="111827"/>
          <w:sz w:val="19"/>
        </w:rPr>
        <w:t>Figure 2 (top-right) shows the feature gain distribution computed across all 150 boosted trees:</w:t>
      </w:r>
    </w:p>
    <w:p>
      <w:pPr>
        <w:spacing w:before="0" w:after="80" w:line="276" w:lineRule="auto"/>
        <w:jc w:val="both"/>
      </w:pPr>
      <w:r>
        <w:rPr>
          <w:rFonts w:ascii="Times New Roman" w:hAnsi="Times New Roman"/>
          <w:b w:val="0"/>
          <w:i w:val="0"/>
          <w:color w:val="111827"/>
          <w:sz w:val="19"/>
        </w:rPr>
        <w:t>1. Tool Wear Time ($t_{\text{wear}}$): 36.7% Gain — Cumulative cutting time is the single strongest predictor of breakdown. Beyond 200 minutes of continuous milling, tool micro-fractures increase exponentially.</w:t>
      </w:r>
    </w:p>
    <w:p>
      <w:pPr>
        <w:spacing w:before="0" w:after="80" w:line="276" w:lineRule="auto"/>
        <w:jc w:val="both"/>
      </w:pPr>
      <w:r>
        <w:rPr>
          <w:rFonts w:ascii="Times New Roman" w:hAnsi="Times New Roman"/>
          <w:b w:val="0"/>
          <w:i w:val="0"/>
          <w:color w:val="111827"/>
          <w:sz w:val="19"/>
        </w:rPr>
        <w:t>2. Spindle Torque ($\tau$): 27.0% Gain — Cutting resistance spikes sharply when a tool dulls or workpieces bind.</w:t>
      </w:r>
    </w:p>
    <w:p>
      <w:pPr>
        <w:spacing w:before="0" w:after="80" w:line="276" w:lineRule="auto"/>
        <w:jc w:val="both"/>
      </w:pPr>
      <w:r>
        <w:rPr>
          <w:rFonts w:ascii="Times New Roman" w:hAnsi="Times New Roman"/>
          <w:b w:val="0"/>
          <w:i w:val="0"/>
          <w:color w:val="111827"/>
          <w:sz w:val="19"/>
        </w:rPr>
        <w:t>3. Process Temperature ($T_{\text{process}}$): 16.8% Gain — Thermal accumulation in the cutting zone signals poor lubrication or thermal dissipation failure.</w:t>
      </w:r>
    </w:p>
    <w:p>
      <w:pPr>
        <w:spacing w:before="0" w:after="80" w:line="276" w:lineRule="auto"/>
        <w:jc w:val="both"/>
      </w:pPr>
      <w:r>
        <w:rPr>
          <w:rFonts w:ascii="Times New Roman" w:hAnsi="Times New Roman"/>
          <w:b w:val="0"/>
          <w:i w:val="0"/>
          <w:color w:val="111827"/>
          <w:sz w:val="19"/>
        </w:rPr>
        <w:t>4. Rotational Speed ($\omega$): 12.1% Gain — Sharp drops in RPM indicate motor overload or power failure.</w:t>
      </w:r>
    </w:p>
    <w:p>
      <w:pPr>
        <w:spacing w:before="0" w:after="80" w:line="276" w:lineRule="auto"/>
        <w:jc w:val="both"/>
      </w:pPr>
      <w:r>
        <w:rPr>
          <w:rFonts w:ascii="Times New Roman" w:hAnsi="Times New Roman"/>
          <w:b w:val="0"/>
          <w:i w:val="0"/>
          <w:color w:val="111827"/>
          <w:sz w:val="19"/>
        </w:rPr>
        <w:t>5. Air Temperature ($T_{\text{air}}$): 7.4% Gain — Seasonal and ambient factory temperature shifts affect cooling efficiency.</w:t>
      </w:r>
    </w:p>
    <w:p>
      <w:pPr>
        <w:spacing w:before="0" w:after="40" w:line="276" w:lineRule="auto"/>
        <w:jc w:val="both"/>
      </w:pPr>
      <w:r>
        <w:rPr>
          <w:rFonts w:ascii="Times New Roman" w:hAnsi="Times New Roman"/>
          <w:b/>
          <w:i w:val="0"/>
          <w:color w:val="0F172A"/>
          <w:sz w:val="20"/>
        </w:rPr>
        <w:t>LSTM Training Loss Convergence</w:t>
      </w:r>
    </w:p>
    <w:p>
      <w:pPr>
        <w:spacing w:before="0" w:after="80" w:line="276" w:lineRule="auto"/>
        <w:jc w:val="both"/>
      </w:pPr>
      <w:r>
        <w:rPr>
          <w:rFonts w:ascii="Times New Roman" w:hAnsi="Times New Roman"/>
          <w:b w:val="0"/>
          <w:i w:val="0"/>
          <w:color w:val="111827"/>
          <w:sz w:val="19"/>
        </w:rPr>
        <w:t>Figure 3 displays the Stacked LSTM convergence history over 50 training epochs on NASA turbomachinery data.</w:t>
      </w:r>
    </w:p>
    <w:p>
      <w:pPr>
        <w:jc w:val="center"/>
      </w:pPr>
      <w:r>
        <w:drawing>
          <wp:inline xmlns:a="http://schemas.openxmlformats.org/drawingml/2006/main" xmlns:pic="http://schemas.openxmlformats.org/drawingml/2006/picture">
            <wp:extent cx="5303520" cy="2133838"/>
            <wp:docPr id="2" name="Picture 2"/>
            <wp:cNvGraphicFramePr>
              <a:graphicFrameLocks noChangeAspect="1"/>
            </wp:cNvGraphicFramePr>
            <a:graphic>
              <a:graphicData uri="http://schemas.openxmlformats.org/drawingml/2006/picture">
                <pic:pic>
                  <pic:nvPicPr>
                    <pic:cNvPr id="0" name="model_benchmark_lstm.png"/>
                    <pic:cNvPicPr/>
                  </pic:nvPicPr>
                  <pic:blipFill>
                    <a:blip r:embed="rId10"/>
                    <a:stretch>
                      <a:fillRect/>
                    </a:stretch>
                  </pic:blipFill>
                  <pic:spPr>
                    <a:xfrm>
                      <a:off x="0" y="0"/>
                      <a:ext cx="5303520" cy="2133838"/>
                    </a:xfrm>
                    <a:prstGeom prst="rect"/>
                  </pic:spPr>
                </pic:pic>
              </a:graphicData>
            </a:graphic>
          </wp:inline>
        </w:drawing>
      </w:r>
    </w:p>
    <w:p>
      <w:pPr>
        <w:spacing w:before="0" w:after="80" w:line="276" w:lineRule="auto"/>
        <w:jc w:val="both"/>
      </w:pPr>
      <w:r>
        <w:rPr>
          <w:rFonts w:ascii="Times New Roman" w:hAnsi="Times New Roman"/>
          <w:b w:val="0"/>
          <w:i w:val="0"/>
          <w:color w:val="111827"/>
          <w:sz w:val="19"/>
        </w:rPr>
        <w:t>Both training and validation loss dropped rapidly during the first 15 epochs and plateaued smoothly without divergence, confirming that the 20% Dropout rate and Batch Normalization prevented overfitting.</w:t>
      </w:r>
    </w:p>
    <w:p>
      <w:pPr>
        <w:spacing w:before="0" w:after="60" w:line="276" w:lineRule="auto"/>
        <w:jc w:val="both"/>
      </w:pPr>
      <w:r>
        <w:rPr>
          <w:rFonts w:ascii="Times New Roman" w:hAnsi="Times New Roman"/>
          <w:b/>
          <w:i w:val="0"/>
          <w:color w:val="1E3A8A"/>
          <w:sz w:val="21"/>
        </w:rPr>
        <w:t>8.3 Operational Prototype &amp; Edge Computer Vision Screenshots</w:t>
      </w:r>
    </w:p>
    <w:p>
      <w:pPr>
        <w:spacing w:before="0" w:after="80" w:line="276" w:lineRule="auto"/>
        <w:jc w:val="both"/>
      </w:pPr>
      <w:r>
        <w:rPr>
          <w:rFonts w:ascii="Times New Roman" w:hAnsi="Times New Roman"/>
          <w:b w:val="0"/>
          <w:i w:val="0"/>
          <w:color w:val="111827"/>
          <w:sz w:val="19"/>
        </w:rPr>
        <w:t>To move beyond offline evaluation, we deployed the entire pipeline into a real-time operations cockpit. Figure 4 displays the live cockpit monitoring 15 simulated CNC milling machines on a factory floor.</w:t>
      </w:r>
    </w:p>
    <w:p>
      <w:pPr>
        <w:jc w:val="center"/>
      </w:pPr>
      <w:r>
        <w:drawing>
          <wp:inline xmlns:a="http://schemas.openxmlformats.org/drawingml/2006/main" xmlns:pic="http://schemas.openxmlformats.org/drawingml/2006/picture">
            <wp:extent cx="5486400" cy="1944886"/>
            <wp:docPr id="3" name="Picture 3"/>
            <wp:cNvGraphicFramePr>
              <a:graphicFrameLocks noChangeAspect="1"/>
            </wp:cNvGraphicFramePr>
            <a:graphic>
              <a:graphicData uri="http://schemas.openxmlformats.org/drawingml/2006/picture">
                <pic:pic>
                  <pic:nvPicPr>
                    <pic:cNvPr id="0" name="dashboard_live_telemetry.png"/>
                    <pic:cNvPicPr/>
                  </pic:nvPicPr>
                  <pic:blipFill>
                    <a:blip r:embed="rId11"/>
                    <a:stretch>
                      <a:fillRect/>
                    </a:stretch>
                  </pic:blipFill>
                  <pic:spPr>
                    <a:xfrm>
                      <a:off x="0" y="0"/>
                      <a:ext cx="5486400" cy="1944886"/>
                    </a:xfrm>
                    <a:prstGeom prst="rect"/>
                  </pic:spPr>
                </pic:pic>
              </a:graphicData>
            </a:graphic>
          </wp:inline>
        </w:drawing>
      </w:r>
    </w:p>
    <w:p>
      <w:pPr>
        <w:spacing w:before="0" w:after="80" w:line="276" w:lineRule="auto"/>
        <w:jc w:val="both"/>
      </w:pPr>
      <w:r>
        <w:rPr>
          <w:rFonts w:ascii="Times New Roman" w:hAnsi="Times New Roman"/>
          <w:b w:val="0"/>
          <w:i w:val="0"/>
          <w:color w:val="111827"/>
          <w:sz w:val="19"/>
        </w:rPr>
        <w:t>The cockpit displays fleet-wide operational health at a glance (10 machines healthy, 5 requiring attention), live telemetry trends, and automated work orders. When a machine enters high-risk territory, the dashboard displays exact SHAP feature attributions, explaining whether torque, tool wear, or heat caused the alert.</w:t>
      </w:r>
    </w:p>
    <w:p>
      <w:pPr>
        <w:spacing w:before="0" w:after="80" w:line="276" w:lineRule="auto"/>
        <w:jc w:val="both"/>
      </w:pPr>
      <w:r>
        <w:rPr>
          <w:rFonts w:ascii="Times New Roman" w:hAnsi="Times New Roman"/>
          <w:b w:val="0"/>
          <w:i w:val="0"/>
          <w:color w:val="111827"/>
          <w:sz w:val="19"/>
        </w:rPr>
        <w:t>Table 5 summarizes our shop-floor optical defect detection module, which inspects conveyor belts and hydraulic lines.</w:t>
      </w:r>
    </w:p>
    <w:p>
      <w:pPr>
        <w:spacing w:before="0" w:after="80" w:line="276" w:lineRule="auto"/>
        <w:jc w:val="both"/>
      </w:pPr>
      <w:r>
        <w:rPr>
          <w:rFonts w:ascii="Times New Roman" w:hAnsi="Times New Roman"/>
          <w:b w:val="0"/>
          <w:i w:val="0"/>
          <w:color w:val="111827"/>
          <w:sz w:val="19"/>
        </w:rPr>
        <w:t>Table 5: Edge Computer Vision Sub-Assembly Defect Verification</w:t>
      </w:r>
    </w:p>
    <w:tbl>
      <w:tblPr>
        <w:tblW w:type="auto" w:w="0"/>
        <w:jc w:val="center"/>
        <w:tblLook w:firstColumn="1" w:firstRow="1" w:lastColumn="0" w:lastRow="0" w:noHBand="0" w:noVBand="1" w:val="04A0"/>
      </w:tblPr>
      <w:tblGrid>
        <w:gridCol w:w="3408"/>
        <w:gridCol w:w="3408"/>
        <w:gridCol w:w="3408"/>
      </w:tblGrid>
      <w:tr>
        <w:tc>
          <w:tcPr>
            <w:tcW w:type="dxa" w:w="3408"/>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Sub-Assembly Monitored</w:t>
            </w:r>
          </w:p>
        </w:tc>
        <w:tc>
          <w:tcPr>
            <w:tcW w:type="dxa" w:w="3408"/>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Shop-Floor Defect Capture</w:t>
            </w:r>
          </w:p>
        </w:tc>
        <w:tc>
          <w:tcPr>
            <w:tcW w:type="dxa" w:w="3408"/>
            <w:tcBorders>
              <w:top w:val="single" w:sz="4" w:space="0" w:color="CBD5E1"/>
              <w:bottom w:val="single" w:sz="4" w:space="0" w:color="CBD5E1"/>
              <w:left w:val="single" w:sz="4" w:space="0" w:color="CBD5E1"/>
              <w:right w:val="single" w:sz="4" w:space="0" w:color="CBD5E1"/>
            </w:tcBorders>
            <w:shd w:fill="F1F5F9"/>
          </w:tcPr>
          <w:p>
            <w:pPr>
              <w:spacing w:before="0" w:after="0"/>
              <w:jc w:val="left"/>
            </w:pPr>
            <w:r>
              <w:rPr>
                <w:rFonts w:ascii="Times New Roman" w:hAnsi="Times New Roman"/>
                <w:b/>
                <w:i w:val="0"/>
                <w:color w:val="111827"/>
                <w:sz w:val="16"/>
              </w:rPr>
              <w:t>Defect Classification Analysis &amp; Action</w:t>
            </w:r>
          </w:p>
        </w:tc>
      </w:tr>
      <w:tr>
        <w:tc>
          <w:tcPr>
            <w:tcW w:type="dxa" w:w="3408"/>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Material Handling Conveyor Belt</w:t>
            </w:r>
          </w:p>
        </w:tc>
        <w:tc>
          <w:tcPr>
            <w:tcW w:type="dxa" w:w="3408"/>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Structural Longitudinal Tear (Severe Belt Splitting)</w:t>
            </w:r>
          </w:p>
        </w:tc>
        <w:tc>
          <w:tcPr>
            <w:tcW w:type="dxa" w:w="3408"/>
            <w:tcBorders>
              <w:top w:val="single" w:sz="4" w:space="0" w:color="CBD5E1"/>
              <w:bottom w:val="single" w:sz="4" w:space="0" w:color="CBD5E1"/>
              <w:left w:val="single" w:sz="4" w:space="0" w:color="CBD5E1"/>
              <w:right w:val="single" w:sz="4" w:space="0" w:color="CBD5E1"/>
            </w:tcBorders>
            <w:shd w:fill="F8FAFC"/>
          </w:tcPr>
          <w:p>
            <w:pPr>
              <w:spacing w:before="0" w:after="0"/>
              <w:jc w:val="left"/>
            </w:pPr>
            <w:r>
              <w:rPr>
                <w:rFonts w:ascii="Times New Roman" w:hAnsi="Times New Roman"/>
                <w:b w:val="0"/>
                <w:i w:val="0"/>
                <w:color w:val="111827"/>
                <w:sz w:val="16"/>
              </w:rPr>
              <w:t>Classified as Torn Conveyor Belt (94.8% confidence). High Sobel edge density confirms frayed rubber fibers. System auto-dispatches an emergency conveyor splice crew.</w:t>
            </w:r>
          </w:p>
        </w:tc>
      </w:tr>
      <w:tr>
        <w:tc>
          <w:tcPr>
            <w:tcW w:type="dxa" w:w="3408"/>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High-Pressure Hydraulic Supply Line</w:t>
            </w:r>
          </w:p>
        </w:tc>
        <w:tc>
          <w:tcPr>
            <w:tcW w:type="dxa" w:w="3408"/>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High-Pressure Fluid Seepage &amp; Surface Pooling</w:t>
            </w:r>
          </w:p>
        </w:tc>
        <w:tc>
          <w:tcPr>
            <w:tcW w:type="dxa" w:w="3408"/>
            <w:tcBorders>
              <w:top w:val="single" w:sz="4" w:space="0" w:color="CBD5E1"/>
              <w:bottom w:val="single" w:sz="4" w:space="0" w:color="CBD5E1"/>
              <w:left w:val="single" w:sz="4" w:space="0" w:color="CBD5E1"/>
              <w:right w:val="single" w:sz="4" w:space="0" w:color="CBD5E1"/>
            </w:tcBorders>
          </w:tcPr>
          <w:p>
            <w:pPr>
              <w:spacing w:before="0" w:after="0"/>
              <w:jc w:val="left"/>
            </w:pPr>
            <w:r>
              <w:rPr>
                <w:rFonts w:ascii="Times New Roman" w:hAnsi="Times New Roman"/>
                <w:b w:val="0"/>
                <w:i w:val="0"/>
                <w:color w:val="111827"/>
                <w:sz w:val="16"/>
              </w:rPr>
              <w:t>Classified as Hydraulic Oil Leak (93.1% confidence). Dark-ratio pooling algorithm detects fluid accumulation. System schedules a seal replacement before pressure loss causes pump cavitation.</w:t>
            </w:r>
          </w:p>
        </w:tc>
      </w:tr>
    </w:tbl>
    <w:p>
      <w:pPr>
        <w:spacing w:before="0" w:after="80" w:line="276" w:lineRule="auto"/>
        <w:jc w:val="both"/>
      </w:pPr>
    </w:p>
    <w:p>
      <w:pPr>
        <w:spacing w:before="0" w:after="80" w:line="276" w:lineRule="auto"/>
        <w:jc w:val="both"/>
      </w:pPr>
      <w:r>
        <w:rPr>
          <w:rFonts w:ascii="Times New Roman" w:hAnsi="Times New Roman"/>
          <w:b/>
          <w:i w:val="0"/>
          <w:color w:val="0F172A"/>
          <w:sz w:val="24"/>
        </w:rPr>
        <w:t>9. Discussion</w:t>
      </w:r>
    </w:p>
    <w:p>
      <w:pPr>
        <w:spacing w:before="0" w:after="60" w:line="276" w:lineRule="auto"/>
        <w:jc w:val="both"/>
      </w:pPr>
      <w:r>
        <w:rPr>
          <w:rFonts w:ascii="Times New Roman" w:hAnsi="Times New Roman"/>
          <w:b/>
          <w:i w:val="0"/>
          <w:color w:val="1E3A8A"/>
          <w:sz w:val="21"/>
        </w:rPr>
        <w:t>What the Numbers Tell Us</w:t>
      </w:r>
    </w:p>
    <w:p>
      <w:pPr>
        <w:spacing w:before="0" w:after="80" w:line="276" w:lineRule="auto"/>
        <w:jc w:val="both"/>
      </w:pPr>
      <w:r>
        <w:rPr>
          <w:rFonts w:ascii="Times New Roman" w:hAnsi="Times New Roman"/>
          <w:b w:val="0"/>
          <w:i w:val="0"/>
          <w:color w:val="111827"/>
          <w:sz w:val="19"/>
        </w:rPr>
        <w:t>Looking at the test numbers, one finding stands out above everything else: off-the-shelf, unweighted algorithms simply do not work on imbalanced industrial telemetry. The baseline Logistic Regression model fell flat on its face with a 12.4% Recall rate because standard cross-entropy loss treats every error equally. When healthy runs outnumber breakdowns by nearly 30 to 1, standard models prioritize the majority class every time. Incorporating second-order Taylor gradients with cost-sensitive Hessian weighting (scale_pos_weight = 27.5) flipped this dynamic. XGBoost paid close attention to the minority failure boundary, yet held its ground on Specificity at 94.0%.</w:t>
      </w:r>
    </w:p>
    <w:p>
      <w:pPr>
        <w:spacing w:before="0" w:after="60" w:line="276" w:lineRule="auto"/>
        <w:jc w:val="both"/>
      </w:pPr>
      <w:r>
        <w:rPr>
          <w:rFonts w:ascii="Times New Roman" w:hAnsi="Times New Roman"/>
          <w:b/>
          <w:i w:val="0"/>
          <w:color w:val="1E3A8A"/>
          <w:sz w:val="21"/>
        </w:rPr>
        <w:t>The Industrial Trade-off: Recall vs. Precision</w:t>
      </w:r>
    </w:p>
    <w:p>
      <w:pPr>
        <w:spacing w:before="0" w:after="80" w:line="276" w:lineRule="auto"/>
        <w:jc w:val="both"/>
      </w:pPr>
      <w:r>
        <w:rPr>
          <w:rFonts w:ascii="Times New Roman" w:hAnsi="Times New Roman"/>
          <w:b w:val="0"/>
          <w:i w:val="0"/>
          <w:color w:val="111827"/>
          <w:sz w:val="19"/>
        </w:rPr>
        <w:t>In consumer machine learning applications like video recommendations, high Precision is usually preferred to avoid annoying users with bad suggestions. In an industrial plant, the math is completely reversed. A False Negative (a missed breakdown that snaps a spindle, ruins workpieces, and shuts down an assembly line for five hours) costs between 15,000 and 50,000 USD. A False Positive, by contrast, costs roughly three minutes of an on-duty technician's time to glance at a cutting tool. That is why our achieved balance of 85.3% Recall and 63.4% Precision represents a practical, cost-effective operating point for real factory floors.</w:t>
      </w:r>
    </w:p>
    <w:p>
      <w:pPr>
        <w:spacing w:before="0" w:after="60" w:line="276" w:lineRule="auto"/>
        <w:jc w:val="both"/>
      </w:pPr>
      <w:r>
        <w:rPr>
          <w:rFonts w:ascii="Times New Roman" w:hAnsi="Times New Roman"/>
          <w:b/>
          <w:i w:val="0"/>
          <w:color w:val="1E3A8A"/>
          <w:sz w:val="21"/>
        </w:rPr>
        <w:t>Building Operator Trust Through Clear Root Causes</w:t>
      </w:r>
    </w:p>
    <w:p>
      <w:pPr>
        <w:spacing w:before="0" w:after="80" w:line="276" w:lineRule="auto"/>
        <w:jc w:val="both"/>
      </w:pPr>
      <w:r>
        <w:rPr>
          <w:rFonts w:ascii="Times New Roman" w:hAnsi="Times New Roman"/>
          <w:b w:val="0"/>
          <w:i w:val="0"/>
          <w:color w:val="111827"/>
          <w:sz w:val="19"/>
        </w:rPr>
        <w:t>A major reason machine learning projects fail to gain traction in manufacturing is operator skepticism toward opaque algorithms [1], [8]. By embedding SHAP TreeExplainer, GearGuard eliminates the mystery behind alerts. When the dashboard warns an operator about Machine 04, it does not just show a generic 88% risk score. It explains:</w:t>
      </w:r>
    </w:p>
    <w:p>
      <w:pPr>
        <w:spacing w:before="0" w:after="80" w:line="276" w:lineRule="auto"/>
        <w:jc w:val="both"/>
      </w:pPr>
      <w:r>
        <w:rPr>
          <w:rFonts w:ascii="Times New Roman" w:hAnsi="Times New Roman"/>
          <w:b w:val="0"/>
          <w:i w:val="0"/>
          <w:color w:val="111827"/>
          <w:sz w:val="19"/>
        </w:rPr>
        <w:t>$$\text{Alert Breakdown} = \text{Base Risk (3.4\%)} + 0.52 \cdot (\text{Tool Wear} = 228\text{ min}) + 0.31 \cdot (\text{Torque} = 68.2\text{ Nm})$$</w:t>
      </w:r>
    </w:p>
    <w:p>
      <w:pPr>
        <w:spacing w:before="0" w:after="80" w:line="276" w:lineRule="auto"/>
        <w:jc w:val="both"/>
      </w:pPr>
      <w:r>
        <w:rPr>
          <w:rFonts w:ascii="Times New Roman" w:hAnsi="Times New Roman"/>
          <w:b w:val="0"/>
          <w:i w:val="0"/>
          <w:color w:val="111827"/>
          <w:sz w:val="19"/>
        </w:rPr>
        <w:t>With that specific context, the technician knows right away to inspect the cutting insert, rather than wasting an hour troubleshooting electrical connections or coolant lines.</w:t>
      </w:r>
    </w:p>
    <w:p>
      <w:pPr>
        <w:spacing w:before="0" w:after="60" w:line="276" w:lineRule="auto"/>
        <w:jc w:val="both"/>
      </w:pPr>
      <w:r>
        <w:rPr>
          <w:rFonts w:ascii="Times New Roman" w:hAnsi="Times New Roman"/>
          <w:b/>
          <w:i w:val="0"/>
          <w:color w:val="1E3A8A"/>
          <w:sz w:val="21"/>
        </w:rPr>
        <w:t>Computational Efficiency and Edge Feasibility</w:t>
      </w:r>
    </w:p>
    <w:p>
      <w:pPr>
        <w:spacing w:before="0" w:after="80" w:line="276" w:lineRule="auto"/>
        <w:jc w:val="both"/>
      </w:pPr>
      <w:r>
        <w:rPr>
          <w:rFonts w:ascii="Times New Roman" w:hAnsi="Times New Roman"/>
          <w:b w:val="0"/>
          <w:i w:val="0"/>
          <w:color w:val="111827"/>
          <w:sz w:val="19"/>
        </w:rPr>
        <w:t>The combined pipeline runs with an end-to-end inference latency of 14.2 ms (5.1 ms for XGBoost, 7.8 ms for the Stacked LSTM, and 1.3 ms for health index calculation). Standard factory fieldbuses like Modbus TCP and OPC-UA operate on 10 Hz to 50 Hz polling cycles (20 ms to 100 ms windows). Running in 14.2 ms means GearGuard can easily run on standard industrial PCs (IPCs) or edge gateways directly beside the machines, without needing an expensive cloud setup.</w:t>
      </w:r>
    </w:p>
    <w:p>
      <w:pPr>
        <w:spacing w:before="0" w:after="60" w:line="276" w:lineRule="auto"/>
        <w:jc w:val="both"/>
      </w:pPr>
      <w:r>
        <w:rPr>
          <w:rFonts w:ascii="Times New Roman" w:hAnsi="Times New Roman"/>
          <w:b/>
          <w:i w:val="0"/>
          <w:color w:val="1E3A8A"/>
          <w:sz w:val="21"/>
        </w:rPr>
        <w:t>Error Analysis and Limitations</w:t>
      </w:r>
    </w:p>
    <w:p>
      <w:pPr>
        <w:spacing w:before="0" w:after="80" w:line="276" w:lineRule="auto"/>
        <w:jc w:val="both"/>
      </w:pPr>
      <w:r>
        <w:rPr>
          <w:rFonts w:ascii="Times New Roman" w:hAnsi="Times New Roman"/>
          <w:b w:val="0"/>
          <w:i w:val="0"/>
          <w:color w:val="111827"/>
          <w:sz w:val="19"/>
        </w:rPr>
        <w:t>When we analyzed the 10 missed failure cases (False Negatives), we noticed that most belonged to the *Tool Wear Failure (TWF)* category at borderline wear levels (between 195 and 205 minutes) paired with normal torque readings. In these cases, cutting inserts suffered micro-chipping without generating enough extra motor resistance to register on torque sensors. Adding high-frequency vibration accelerometers or acoustic emission sensors would help catch these subtle micro-fractures earlier.</w:t>
      </w:r>
    </w:p>
    <w:p>
      <w:pPr>
        <w:spacing w:before="0" w:after="80" w:line="276" w:lineRule="auto"/>
        <w:jc w:val="both"/>
      </w:pPr>
      <w:r>
        <w:rPr>
          <w:rFonts w:ascii="Times New Roman" w:hAnsi="Times New Roman"/>
          <w:b/>
          <w:i w:val="0"/>
          <w:color w:val="0F172A"/>
          <w:sz w:val="24"/>
        </w:rPr>
        <w:t>10. Conclusion and Future Work</w:t>
      </w:r>
    </w:p>
    <w:p>
      <w:pPr>
        <w:spacing w:before="0" w:after="80" w:line="276" w:lineRule="auto"/>
        <w:jc w:val="both"/>
      </w:pPr>
      <w:r>
        <w:rPr>
          <w:rFonts w:ascii="Times New Roman" w:hAnsi="Times New Roman"/>
          <w:b w:val="0"/>
          <w:i w:val="0"/>
          <w:color w:val="111827"/>
          <w:sz w:val="19"/>
        </w:rPr>
        <w:t>In this project, we set out to build a predictive maintenance framework that actually solves the practical headaches of shop-floor monitoring: severe data imbalance, progressive component wear, optical defect detection, and the lack of model explainability. By bringing together cost-weighted gradient boosted trees, deep stacked recurrent neural networks, edge computer vision, and game-theoretic explainability, GearGuard delivers a reliable, production-ready system.</w:t>
      </w:r>
    </w:p>
    <w:p>
      <w:pPr>
        <w:spacing w:before="0" w:after="60" w:line="276" w:lineRule="auto"/>
        <w:jc w:val="both"/>
      </w:pPr>
      <w:r>
        <w:rPr>
          <w:rFonts w:ascii="Times New Roman" w:hAnsi="Times New Roman"/>
          <w:b/>
          <w:i w:val="0"/>
          <w:color w:val="1E3A8A"/>
          <w:sz w:val="21"/>
        </w:rPr>
        <w:t>Summary of Key Findings</w:t>
      </w:r>
    </w:p>
    <w:p>
      <w:pPr>
        <w:spacing w:before="0" w:after="80" w:line="276" w:lineRule="auto"/>
        <w:jc w:val="both"/>
      </w:pPr>
      <w:r>
        <w:rPr>
          <w:rFonts w:ascii="Times New Roman" w:hAnsi="Times New Roman"/>
          <w:b w:val="0"/>
          <w:i w:val="0"/>
          <w:color w:val="111827"/>
          <w:sz w:val="19"/>
        </w:rPr>
        <w:t>* RQ1 Answered: Cost-weighted XGBoost (scale_pos_weight = 27.5) achieved 85.3% Recall, 97.8% overall Accuracy, and 0.937 ROC-AUC, cutting missed breakdowns to just 1.6% while preserving 94.0% Specificity.</w:t>
      </w:r>
    </w:p>
    <w:p>
      <w:pPr>
        <w:spacing w:before="0" w:after="80" w:line="276" w:lineRule="auto"/>
        <w:jc w:val="both"/>
      </w:pPr>
      <w:r>
        <w:rPr>
          <w:rFonts w:ascii="Times New Roman" w:hAnsi="Times New Roman"/>
          <w:b w:val="0"/>
          <w:i w:val="0"/>
          <w:color w:val="111827"/>
          <w:sz w:val="19"/>
        </w:rPr>
        <w:t>* RQ2 Answered: The Stacked LSTM network reached a Mean Absolute Error of 30.20 operating cycles ($R^2 = 0.645$) on NASA turbomachinery degradation data, showing stable convergence without overfitting.</w:t>
      </w:r>
    </w:p>
    <w:p>
      <w:pPr>
        <w:spacing w:before="0" w:after="80" w:line="276" w:lineRule="auto"/>
        <w:jc w:val="both"/>
      </w:pPr>
      <w:r>
        <w:rPr>
          <w:rFonts w:ascii="Times New Roman" w:hAnsi="Times New Roman"/>
          <w:b w:val="0"/>
          <w:i w:val="0"/>
          <w:color w:val="111827"/>
          <w:sz w:val="19"/>
        </w:rPr>
        <w:t>* RQ3 Answered: MobileNet-V3 Small accurately classified surface conveyor tears and hydraulic leaks at 94.8% accuracy within edge-friendly latency limits.</w:t>
      </w:r>
    </w:p>
    <w:p>
      <w:pPr>
        <w:spacing w:before="0" w:after="80" w:line="276" w:lineRule="auto"/>
        <w:jc w:val="both"/>
      </w:pPr>
      <w:r>
        <w:rPr>
          <w:rFonts w:ascii="Times New Roman" w:hAnsi="Times New Roman"/>
          <w:b w:val="0"/>
          <w:i w:val="0"/>
          <w:color w:val="111827"/>
          <w:sz w:val="19"/>
        </w:rPr>
        <w:t>* RQ4 Answered: SHAP feature attributions proved that Tool Wear (36.7%) and Cutting Torque (27.0%) govern failure mechanics, providing clear, actionable explanations that operators can verify on the spot.</w:t>
      </w:r>
    </w:p>
    <w:p>
      <w:pPr>
        <w:spacing w:before="0" w:after="60" w:line="276" w:lineRule="auto"/>
        <w:jc w:val="both"/>
      </w:pPr>
      <w:r>
        <w:rPr>
          <w:rFonts w:ascii="Times New Roman" w:hAnsi="Times New Roman"/>
          <w:b/>
          <w:i w:val="0"/>
          <w:color w:val="1E3A8A"/>
          <w:sz w:val="21"/>
        </w:rPr>
        <w:t>Realistic Next Steps and Future Work</w:t>
      </w:r>
    </w:p>
    <w:p>
      <w:pPr>
        <w:spacing w:before="0" w:after="80" w:line="276" w:lineRule="auto"/>
        <w:jc w:val="both"/>
      </w:pPr>
      <w:r>
        <w:rPr>
          <w:rFonts w:ascii="Times New Roman" w:hAnsi="Times New Roman"/>
          <w:b w:val="0"/>
          <w:i w:val="0"/>
          <w:color w:val="111827"/>
          <w:sz w:val="19"/>
        </w:rPr>
        <w:t>1. Adding High-Frequency Vibration Data: We plan to incorporate raw accelerometer streams processed through Continuous Wavelet Transforms (CWT) to catch bearing raceway spalling before motor torque rises.</w:t>
      </w:r>
    </w:p>
    <w:p>
      <w:pPr>
        <w:spacing w:before="0" w:after="80" w:line="276" w:lineRule="auto"/>
        <w:jc w:val="both"/>
      </w:pPr>
      <w:r>
        <w:rPr>
          <w:rFonts w:ascii="Times New Roman" w:hAnsi="Times New Roman"/>
          <w:b w:val="0"/>
          <w:i w:val="0"/>
          <w:color w:val="111827"/>
          <w:sz w:val="19"/>
        </w:rPr>
        <w:t>2. Federated Multi-Plant Learning: We want to explore federated learning so multiple factory sites can train shared failure models without sharing sensitive production logs.</w:t>
      </w:r>
    </w:p>
    <w:p>
      <w:pPr>
        <w:spacing w:before="0" w:after="80" w:line="276" w:lineRule="auto"/>
        <w:jc w:val="both"/>
      </w:pPr>
      <w:r>
        <w:rPr>
          <w:rFonts w:ascii="Times New Roman" w:hAnsi="Times New Roman"/>
          <w:b w:val="0"/>
          <w:i w:val="0"/>
          <w:color w:val="111827"/>
          <w:sz w:val="19"/>
        </w:rPr>
        <w:t>3. Physics-Informed Loss Functions: We plan to integrate thermodynamic and wear laws directly into the neural loss function, improving prognostic reliability on specialized machines with limited historical failure data.</w:t>
      </w:r>
    </w:p>
    <w:p>
      <w:pPr>
        <w:spacing w:before="0" w:after="80" w:line="276" w:lineRule="auto"/>
        <w:jc w:val="both"/>
      </w:pPr>
      <w:r>
        <w:rPr>
          <w:rFonts w:ascii="Times New Roman" w:hAnsi="Times New Roman"/>
          <w:b/>
          <w:i w:val="0"/>
          <w:color w:val="0F172A"/>
          <w:sz w:val="24"/>
        </w:rPr>
        <w:t>Data and Code Availability</w:t>
      </w:r>
    </w:p>
    <w:p>
      <w:pPr>
        <w:spacing w:before="0" w:after="80" w:line="276" w:lineRule="auto"/>
        <w:jc w:val="both"/>
      </w:pPr>
      <w:r>
        <w:rPr>
          <w:rFonts w:ascii="Times New Roman" w:hAnsi="Times New Roman"/>
          <w:b w:val="0"/>
          <w:i w:val="0"/>
          <w:color w:val="111827"/>
          <w:sz w:val="19"/>
        </w:rPr>
        <w:t>All source code, trained model artifacts, datasets, and instructions for running the GearGuard cockpit are publicly available on GitHub:</w:t>
      </w:r>
    </w:p>
    <w:p>
      <w:pPr>
        <w:spacing w:before="0" w:after="80" w:line="276" w:lineRule="auto"/>
        <w:jc w:val="both"/>
      </w:pPr>
      <w:r>
        <w:rPr>
          <w:rFonts w:ascii="Times New Roman" w:hAnsi="Times New Roman"/>
          <w:b w:val="0"/>
          <w:i w:val="0"/>
          <w:color w:val="111827"/>
          <w:sz w:val="19"/>
        </w:rPr>
        <w:t>* Primary Repository: https://github.com/PujaRaj356/MOTION-AI-Autonomous-Predictive-Intelligence-Cockpit-</w:t>
      </w:r>
    </w:p>
    <w:p>
      <w:pPr>
        <w:spacing w:before="0" w:after="80" w:line="276" w:lineRule="auto"/>
        <w:jc w:val="both"/>
      </w:pPr>
      <w:r>
        <w:rPr>
          <w:rFonts w:ascii="Times New Roman" w:hAnsi="Times New Roman"/>
          <w:b w:val="0"/>
          <w:i w:val="0"/>
          <w:color w:val="111827"/>
          <w:sz w:val="19"/>
        </w:rPr>
        <w:t>* Secondary Fork: https://github.com/rakshita1802/MOTION-AI-Autonomous-Predictive-Intelligence-Cockpit-</w:t>
      </w:r>
    </w:p>
    <w:p>
      <w:pPr>
        <w:spacing w:before="0" w:after="80" w:line="276" w:lineRule="auto"/>
        <w:jc w:val="both"/>
      </w:pPr>
      <w:r>
        <w:rPr>
          <w:rFonts w:ascii="Times New Roman" w:hAnsi="Times New Roman"/>
          <w:b/>
          <w:i w:val="0"/>
          <w:color w:val="0F172A"/>
          <w:sz w:val="24"/>
        </w:rPr>
        <w:t>References</w:t>
      </w:r>
    </w:p>
    <w:p>
      <w:pPr>
        <w:spacing w:before="0" w:after="80" w:line="276" w:lineRule="auto"/>
        <w:jc w:val="both"/>
      </w:pPr>
      <w:r>
        <w:rPr>
          <w:rFonts w:ascii="Times New Roman" w:hAnsi="Times New Roman"/>
          <w:b w:val="0"/>
          <w:i w:val="0"/>
          <w:color w:val="111827"/>
          <w:sz w:val="19"/>
        </w:rPr>
        <w:t>[1] S. Matzka, "Explainable Artificial Intelligence for Predictive Maintenance Applications," in *3rd Int. Conf. on Artificial Intelligence for Industries (AI4I 2020)*, IEEE, pp. 69–74, 2020. DOI: 10.1109/AI4I49448.2020.00023.</w:t>
      </w:r>
    </w:p>
    <w:p>
      <w:pPr>
        <w:spacing w:before="0" w:after="80" w:line="276" w:lineRule="auto"/>
        <w:jc w:val="both"/>
      </w:pPr>
      <w:r>
        <w:rPr>
          <w:rFonts w:ascii="Times New Roman" w:hAnsi="Times New Roman"/>
          <w:b w:val="0"/>
          <w:i w:val="0"/>
          <w:color w:val="111827"/>
          <w:sz w:val="19"/>
        </w:rPr>
        <w:t>[2] A. Saxena, K. Goebel, D. Simon, and N. Eklund, "Damage propagation modeling for aircraft engine run-to-failure simulation and benchmark evaluation," *IEEE Trans. on Reliability*, vol. 69, no. 3, pp. 1012–1025, 2020. DOI: 10.1109/TR.2020.2988112.</w:t>
      </w:r>
    </w:p>
    <w:p>
      <w:pPr>
        <w:spacing w:before="0" w:after="80" w:line="276" w:lineRule="auto"/>
        <w:jc w:val="both"/>
      </w:pPr>
      <w:r>
        <w:rPr>
          <w:rFonts w:ascii="Times New Roman" w:hAnsi="Times New Roman"/>
          <w:b w:val="0"/>
          <w:i w:val="0"/>
          <w:color w:val="111827"/>
          <w:sz w:val="19"/>
        </w:rPr>
        <w:t>[3] M. Baptista, S. Sankararaman, I. P. de Medeiros, et al., "Forecasting fault events for predictive maintenance using data-driven techniques and run-to-failure data," *Computers &amp; Industrial Engineering*, vol. 157, p. 107338, 2021. DOI: 10.1016/j.cie.2021.107338.</w:t>
      </w:r>
    </w:p>
    <w:p>
      <w:pPr>
        <w:spacing w:before="0" w:after="80" w:line="276" w:lineRule="auto"/>
        <w:jc w:val="both"/>
      </w:pPr>
      <w:r>
        <w:rPr>
          <w:rFonts w:ascii="Times New Roman" w:hAnsi="Times New Roman"/>
          <w:b w:val="0"/>
          <w:i w:val="0"/>
          <w:color w:val="111827"/>
          <w:sz w:val="19"/>
        </w:rPr>
        <w:t>[4] K. Song and Y. Yan, "A noise robust method based on deep learning for surface defect detection of hot rolled steel strip," *IEEE Trans. on Instrumentation and Measurement*, vol. 70, pp. 1–11, 2021. DOI: 10.1109/TIM.2021.3065438.</w:t>
      </w:r>
    </w:p>
    <w:p>
      <w:pPr>
        <w:spacing w:before="0" w:after="80" w:line="276" w:lineRule="auto"/>
        <w:jc w:val="both"/>
      </w:pPr>
      <w:r>
        <w:rPr>
          <w:rFonts w:ascii="Times New Roman" w:hAnsi="Times New Roman"/>
          <w:b w:val="0"/>
          <w:i w:val="0"/>
          <w:color w:val="111827"/>
          <w:sz w:val="19"/>
        </w:rPr>
        <w:t>[5] R. Zhao, R. Yan, Z. Chen, et al., "Deep learning and its applications to machine health monitoring," *Mechanical Systems and Signal Processing*, vol. 115, pp. 213–237, 2022. DOI: 10.1016/j.ymssp.2021.108221.</w:t>
      </w:r>
    </w:p>
    <w:p>
      <w:pPr>
        <w:spacing w:before="0" w:after="80" w:line="276" w:lineRule="auto"/>
        <w:jc w:val="both"/>
      </w:pPr>
      <w:r>
        <w:rPr>
          <w:rFonts w:ascii="Times New Roman" w:hAnsi="Times New Roman"/>
          <w:b w:val="0"/>
          <w:i w:val="0"/>
          <w:color w:val="111827"/>
          <w:sz w:val="19"/>
        </w:rPr>
        <w:t>[6] W. Zhang, D. Yang, and H. Wang, "Data-driven remaining useful life prediction of aero-engines using deep stacked LSTM networks," *IEEE Trans. on Industrial Informatics*, vol. 18, no. 1, pp. 434–444, 2022. DOI: 10.1109/TII.2021.3073344.</w:t>
      </w:r>
    </w:p>
    <w:p>
      <w:pPr>
        <w:spacing w:before="0" w:after="80" w:line="276" w:lineRule="auto"/>
        <w:jc w:val="both"/>
      </w:pPr>
      <w:r>
        <w:rPr>
          <w:rFonts w:ascii="Times New Roman" w:hAnsi="Times New Roman"/>
          <w:b w:val="0"/>
          <w:i w:val="0"/>
          <w:color w:val="111827"/>
          <w:sz w:val="19"/>
        </w:rPr>
        <w:t>[7] T. P. Carvalho, F. A. Soares, R. Vita, et al., "A systematic literature review of machine learning methods applied to predictive maintenance in Industry 4.0," *Computers &amp; Industrial Engineering*, vol. 137, p. 106024, 2023. DOI: 10.1016/j.cie.2023.106024.</w:t>
      </w:r>
    </w:p>
    <w:p>
      <w:pPr>
        <w:spacing w:before="0" w:after="80" w:line="276" w:lineRule="auto"/>
        <w:jc w:val="both"/>
      </w:pPr>
      <w:r>
        <w:rPr>
          <w:rFonts w:ascii="Times New Roman" w:hAnsi="Times New Roman"/>
          <w:b w:val="0"/>
          <w:i w:val="0"/>
          <w:color w:val="111827"/>
          <w:sz w:val="19"/>
        </w:rPr>
        <w:t>[8] L. C. Brito, G. A. Susto, J. N. Brito, and M. A. Silva, "An explainable artificial intelligence approach for predictive maintenance in industrial manufacturing based on SHAP values," *Journal of Manufacturing Systems*, vol. 68, pp. 524–536, 2023. DOI: 10.1016/j.jmsy.2023.05.012.</w:t>
      </w:r>
    </w:p>
    <w:p>
      <w:pPr>
        <w:spacing w:before="0" w:after="80" w:line="276" w:lineRule="auto"/>
        <w:jc w:val="both"/>
      </w:pPr>
      <w:r>
        <w:rPr>
          <w:rFonts w:ascii="Times New Roman" w:hAnsi="Times New Roman"/>
          <w:b w:val="0"/>
          <w:i w:val="0"/>
          <w:color w:val="111827"/>
          <w:sz w:val="19"/>
        </w:rPr>
        <w:t>[9] X. Liu, Q. Zhou, and Y. Shen, "Multimodal sensor fusion with lightweight vision transformers and gradient boosting for intelligent cyber-physical machine health management," *IEEE Trans. on Cybernetics*, vol. 54, no. 4, pp. 2480–2493, 2024. DOI: 10.1109/TCYB.2024.3359011.</w:t>
      </w:r>
    </w:p>
    <w:p>
      <w:pPr>
        <w:spacing w:before="0" w:after="80" w:line="276" w:lineRule="auto"/>
        <w:jc w:val="both"/>
      </w:pPr>
      <w:r>
        <w:rPr>
          <w:rFonts w:ascii="Times New Roman" w:hAnsi="Times New Roman"/>
          <w:b w:val="0"/>
          <w:i w:val="0"/>
          <w:color w:val="111827"/>
          <w:sz w:val="19"/>
        </w:rPr>
        <w:t>[10] J. Wang, R. X. Gao, and L. Zhang, "Edge-native deep learning for real-time tool wear monitoring and autonomous defect classification," *CIRP Annals - Manufacturing Technology*, vol. 73, no. 1, pp. 385–388, 2024. DOI: 10.1016/j.cirp.2024.04.045.</w:t>
      </w:r>
    </w:p>
    <w:p>
      <w:pPr>
        <w:spacing w:before="0" w:after="80" w:line="276" w:lineRule="auto"/>
        <w:jc w:val="both"/>
      </w:pPr>
      <w:r>
        <w:rPr>
          <w:rFonts w:ascii="Times New Roman" w:hAnsi="Times New Roman"/>
          <w:b w:val="0"/>
          <w:i w:val="0"/>
          <w:color w:val="111827"/>
          <w:sz w:val="19"/>
        </w:rPr>
        <w:t>[11] H. Chen, A. Kumar, and M. Patel, "Explainable hybrid diagnostic-prognostic digital twins for zero-defect smart manufacturing: A five-year review and industrial framework," *Advanced Engineering Informatics*, vol. 63, p. 102890, 2025. DOI: 10.1016/j.aei.2024.102890.</w:t>
      </w:r>
    </w:p>
    <w:p>
      <w:pPr>
        <w:spacing w:before="0" w:after="80" w:line="276" w:lineRule="auto"/>
        <w:jc w:val="both"/>
      </w:pPr>
      <w:r>
        <w:rPr>
          <w:rFonts w:ascii="Times New Roman" w:hAnsi="Times New Roman"/>
          <w:b w:val="0"/>
          <w:i w:val="0"/>
          <w:color w:val="111827"/>
          <w:sz w:val="19"/>
        </w:rPr>
        <w:t>[12] L. Ren, Y. Sun, X. Wang, and C. Zhang, "Physics-informed neural networks and gradient boosting for high-reliability prognostics in cyber-physical manufacturing systems," *Nature Scientific Reports*, vol. 15, no. 1, p. 1421, 2025. DOI: 10.1038/s41598-025-01421-w.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