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0F172A"/>
          <w:sz w:val="30"/>
        </w:rPr>
        <w:t>GearGuard: A Hybrid Diagnostic-Prognostic Multimodal Machine Learning Framework for Autonomous Industrial Failure Prevention and Real-Time RUL Estimation</w:t>
      </w:r>
    </w:p>
    <w:p>
      <w:pPr>
        <w:spacing w:before="0" w:after="240" w:line="276" w:lineRule="auto"/>
        <w:jc w:val="center"/>
      </w:pPr>
      <w:r>
        <w:rPr>
          <w:rFonts w:ascii="Times New Roman" w:hAnsi="Times New Roman"/>
          <w:b w:val="0"/>
          <w:i/>
          <w:color w:val="334155"/>
          <w:sz w:val="18"/>
        </w:rPr>
        <w:t>Course Code: 20MSS54-ML — Assessment-II: ML/DL Research Article Writing</w:t>
        <w:br/>
        <w:t>Authors: Puja R (Roll No. 2403717672622039) and Rakshita N (Roll No. 2403717672622040)</w:t>
        <w:br/>
        <w:t>Department of Software Systems, Coimbatore Institute of Technology, Coimbatore, Tamil Nadu, India</w:t>
        <w:br/>
        <w:t>Academic Year: 2025 – 2026</w:t>
      </w:r>
    </w:p>
    <w:p>
      <w:pPr>
        <w:spacing w:before="0" w:after="80" w:line="276" w:lineRule="auto"/>
        <w:jc w:val="both"/>
      </w:pPr>
      <w:r>
        <w:rPr>
          <w:rFonts w:ascii="Times New Roman" w:hAnsi="Times New Roman"/>
          <w:b w:val="0"/>
          <w:i w:val="0"/>
          <w:color w:val="111827"/>
          <w:sz w:val="19"/>
        </w:rPr>
        <w:t>Course Code: 20MSS54-ML — Assessment-II: ML/DL Research Article Writing</w:t>
      </w:r>
    </w:p>
    <w:p>
      <w:pPr>
        <w:spacing w:before="0" w:after="80" w:line="276" w:lineRule="auto"/>
        <w:jc w:val="both"/>
      </w:pPr>
      <w:r>
        <w:rPr>
          <w:rFonts w:ascii="Times New Roman" w:hAnsi="Times New Roman"/>
          <w:b w:val="0"/>
          <w:i w:val="0"/>
          <w:color w:val="111827"/>
          <w:sz w:val="19"/>
        </w:rPr>
        <w:t>Authors: Puja R (Roll No. 2403717672622039) and Rakshita N (Roll No. 2403717672622040)</w:t>
      </w:r>
    </w:p>
    <w:p>
      <w:pPr>
        <w:spacing w:before="0" w:after="80" w:line="276" w:lineRule="auto"/>
        <w:jc w:val="both"/>
      </w:pPr>
      <w:r>
        <w:rPr>
          <w:rFonts w:ascii="Times New Roman" w:hAnsi="Times New Roman"/>
          <w:b w:val="0"/>
          <w:i w:val="0"/>
          <w:color w:val="111827"/>
          <w:sz w:val="19"/>
        </w:rPr>
        <w:t>Affiliation: Department of Software Systems, Coimbatore Institute of Technology, Coimbatore, Tamil Nadu, India</w:t>
      </w:r>
    </w:p>
    <w:p>
      <w:pPr>
        <w:spacing w:before="0" w:after="80" w:line="276" w:lineRule="auto"/>
        <w:jc w:val="both"/>
      </w:pPr>
      <w:r>
        <w:rPr>
          <w:rFonts w:ascii="Times New Roman" w:hAnsi="Times New Roman"/>
          <w:b w:val="0"/>
          <w:i w:val="0"/>
          <w:color w:val="111827"/>
          <w:sz w:val="19"/>
        </w:rPr>
        <w:t>Academic Year: 2025 – 2026</w:t>
      </w:r>
    </w:p>
    <w:p>
      <w:pPr>
        <w:spacing w:before="0" w:after="40" w:line="276" w:lineRule="auto"/>
        <w:jc w:val="left"/>
      </w:pPr>
      <w:r>
        <w:rPr>
          <w:rFonts w:ascii="Times New Roman" w:hAnsi="Times New Roman"/>
          <w:b/>
          <w:i w:val="0"/>
          <w:color w:val="0F172A"/>
          <w:sz w:val="22"/>
        </w:rPr>
        <w:t>ABSTRACT</w:t>
      </w:r>
    </w:p>
    <w:p>
      <w:pPr>
        <w:spacing w:before="0" w:after="80" w:line="276" w:lineRule="auto"/>
        <w:jc w:val="both"/>
      </w:pPr>
      <w:r>
        <w:rPr>
          <w:rFonts w:ascii="Times New Roman" w:hAnsi="Times New Roman"/>
          <w:b w:val="0"/>
          <w:i w:val="0"/>
          <w:color w:val="111827"/>
          <w:sz w:val="19"/>
        </w:rPr>
        <w:t>When machinery fails without warning on a factory floor, production halts instantly, and the resulting financial losses mount by the minute. Most industrial facilities still handle maintenance in one of two flawed ways: they either run equipment until a part snaps (reactive repairs) or swap out components on rigid calendar schedules regardless of actual wear (preventative overhauls). The former risks severe machine damage, while the latter wastes functional parts that still retain over 70% of their useful life. In this project, we designed and built GearGuard, an end-to-end multimodal predictive maintenance system that unites real-time breakdown diagnosis, continuous Remaining Useful Life (RUL) estimation, and edge-based visual defect inspection into a single working architecture. We evaluated multiple algorithms across three industrial datasets: the UCI AI4I 2020 CNC milling dataset (10,000 records), NASA's C-MAPSS FD001 turbomachinery degradation dataset, and shop-floor surface defect imagery. A major hurdle in the CNC milling data was severe class imbalance, where actual breakdown events make up only 3.39% of the records. A standard Logistic Regression baseline showed a misleading 96.6% accuracy on paper, but caught only 12.4% of actual breakdowns—missing nearly nine out of ten failures. To fix this, we configured an Extreme Gradient Boosting (XGBoost) classifier with cost-sensitive loss reweighting (scale_pos_weight = 27.5), which raised failure Recall to 85.3%, achieved an overall accuracy of 97.8%, and yielded an ROC-AUC of 0.937, cutting critical missed failures to just 1.6%. For long-term wear tracking, we implemented a Stacked Long Short-Term Memory (LSTM) network (64 and 32 hidden units) processing 20-step temporal sliding sequences, reaching a Mean Absolute Error (MAE) of 30.20 operating cycles and an $R^2$ of 0.645. To catch visible hardware issues that sensors miss, a lightweight MobileNet-V3 Small computer vision pipeline classifies conveyor belt tears and hydraulic fluid leaks with 94.8% accuracy. Finally, we integrated SHAP TreeExplainer to calculate exact game-theoretic feature contributions for machine operators, showing that Tool Wear (36.7%) and Cutting Torque (27.0%) dominate failure mechanics. The entire pipeline runs with an end-to-end inference latency of 14.2 ms, packaged inside an interactive operations cockpit streaming live telemetry every 3.5 seconds.</w:t>
      </w:r>
    </w:p>
    <w:p>
      <w:pPr>
        <w:spacing w:before="0" w:after="80" w:line="276" w:lineRule="auto"/>
        <w:jc w:val="both"/>
      </w:pPr>
      <w:r>
        <w:rPr>
          <w:rFonts w:ascii="Times New Roman" w:hAnsi="Times New Roman"/>
          <w:b w:val="0"/>
          <w:i w:val="0"/>
          <w:color w:val="111827"/>
          <w:sz w:val="19"/>
        </w:rPr>
        <w:t>Keywords: Predictive Maintenance, Industrial AI, Cost-Sensitive XGBoost, Stacked LSTM, Remaining Useful Life, SHAP Explainability, Edge Computer Vision.</w:t>
      </w:r>
    </w:p>
    <w:p>
      <w:pPr>
        <w:spacing w:before="0" w:after="80" w:line="276" w:lineRule="auto"/>
        <w:jc w:val="both"/>
      </w:pPr>
      <w:r>
        <w:rPr>
          <w:rFonts w:ascii="Times New Roman" w:hAnsi="Times New Roman"/>
          <w:b/>
          <w:i w:val="0"/>
          <w:color w:val="0F172A"/>
          <w:sz w:val="24"/>
        </w:rPr>
        <w:t>1. Introduction</w:t>
      </w:r>
    </w:p>
    <w:p>
      <w:pPr>
        <w:spacing w:before="0" w:after="80" w:line="276" w:lineRule="auto"/>
        <w:jc w:val="both"/>
      </w:pPr>
      <w:r>
        <w:rPr>
          <w:rFonts w:ascii="Times New Roman" w:hAnsi="Times New Roman"/>
          <w:b w:val="0"/>
          <w:i w:val="0"/>
          <w:color w:val="111827"/>
          <w:sz w:val="19"/>
        </w:rPr>
        <w:t>Modern manufacturing lines rely heavily on automated computer numerical control (CNC) machining centers, robotic arms, and interconnected sensory arrays running around the clock [1], [7]. But keeping these cyber-physical systems running reliably remains a massive challenge. When a critical spindle seizes or a cutting tool fractures unexpectedly, the entire assembly line backs up. According to industrial studies from the ARC Advisory Group and the International Society of Automation, unplanned machinery halts cost manufacturing enterprises roughly 50 billion USD each year, with unexpected outages slashing overall plant productivity by anywhere between 5% and 20% [7], [11].</w:t>
      </w:r>
    </w:p>
    <w:p>
      <w:pPr>
        <w:spacing w:before="0" w:after="80" w:line="276" w:lineRule="auto"/>
        <w:jc w:val="both"/>
      </w:pPr>
      <w:r>
        <w:rPr>
          <w:rFonts w:ascii="Times New Roman" w:hAnsi="Times New Roman"/>
          <w:b w:val="0"/>
          <w:i w:val="0"/>
          <w:color w:val="111827"/>
          <w:sz w:val="19"/>
        </w:rPr>
        <w:t>Historically, factory maintenance teams have been stuck between two extremes:</w:t>
      </w:r>
    </w:p>
    <w:p>
      <w:pPr>
        <w:spacing w:before="0" w:after="80" w:line="276" w:lineRule="auto"/>
        <w:jc w:val="both"/>
      </w:pPr>
      <w:r>
        <w:rPr>
          <w:rFonts w:ascii="Times New Roman" w:hAnsi="Times New Roman"/>
          <w:b w:val="0"/>
          <w:i w:val="0"/>
          <w:color w:val="111827"/>
          <w:sz w:val="19"/>
        </w:rPr>
        <w:t>1. Reactive Maintenance (Run-to-Failure): Machines are operated continuously until a component physically breaks or jams. While this extracts every last minute of use out of a part, the breakdown often damages adjacent spindles and drive shafts, forces expensive emergency overtime, and disrupts delivery commitments [1], [3].</w:t>
      </w:r>
    </w:p>
    <w:p>
      <w:pPr>
        <w:spacing w:before="0" w:after="80" w:line="276" w:lineRule="auto"/>
        <w:jc w:val="both"/>
      </w:pPr>
      <w:r>
        <w:rPr>
          <w:rFonts w:ascii="Times New Roman" w:hAnsi="Times New Roman"/>
          <w:b w:val="0"/>
          <w:i w:val="0"/>
          <w:color w:val="111827"/>
          <w:sz w:val="19"/>
        </w:rPr>
        <w:t>2. Preventive Maintenance (Calendar or Hour-Based): Sub-assemblies are dismantled and replaced on fixed calendar dates or operating hours, whether they are actually worn out or not. While this prevents some catastrophic breaks, industrial surveys reveal that over 70% of parts replaced on schedule still have substantial usable lifespan remaining [7], [12].</w:t>
      </w:r>
    </w:p>
    <w:p>
      <w:pPr>
        <w:spacing w:before="0" w:after="80" w:line="276" w:lineRule="auto"/>
        <w:jc w:val="both"/>
      </w:pPr>
      <w:r>
        <w:rPr>
          <w:rFonts w:ascii="Times New Roman" w:hAnsi="Times New Roman"/>
          <w:b w:val="0"/>
          <w:i w:val="0"/>
          <w:color w:val="111827"/>
          <w:sz w:val="19"/>
        </w:rPr>
        <w:t>Predictive Maintenance (PdM) offers a smarter path forward by tracking machine health in real time through sensory data and predicting failures before they occur [1], [5]. Even though this sounds straightforward in theory, anyone trying to deploy machine learning models on real factory data runs into several practical roadblocks:</w:t>
      </w:r>
    </w:p>
    <w:p>
      <w:pPr>
        <w:spacing w:before="0" w:after="80" w:line="276" w:lineRule="auto"/>
        <w:jc w:val="both"/>
      </w:pPr>
      <w:r>
        <w:rPr>
          <w:rFonts w:ascii="Times New Roman" w:hAnsi="Times New Roman"/>
          <w:b w:val="0"/>
          <w:i w:val="0"/>
          <w:color w:val="111827"/>
          <w:sz w:val="19"/>
        </w:rPr>
        <w:t>* The Class Imbalance Trap: Healthy operation accounts for over 96% of logged industrial hours, while catastrophic failures make up a tiny fraction (under 4%). A standard machine learning model trained on this data quickly discovers a simple shortcut: predict "no failure" 100% of the time. The model boasts a 96% accuracy score, yet fails to catch a single real breakdown [1], [8].</w:t>
      </w:r>
    </w:p>
    <w:p>
      <w:pPr>
        <w:spacing w:before="0" w:after="80" w:line="276" w:lineRule="auto"/>
        <w:jc w:val="both"/>
      </w:pPr>
      <w:r>
        <w:rPr>
          <w:rFonts w:ascii="Times New Roman" w:hAnsi="Times New Roman"/>
          <w:b w:val="0"/>
          <w:i w:val="0"/>
          <w:color w:val="111827"/>
          <w:sz w:val="19"/>
        </w:rPr>
        <w:t>* Wear Accumulates Over Time: A single instantaneous sensor snapshot cannot tell you how fast heat is building up, how vibration is intensifying, or how metal fatigue has developed across recent cutting passes. Static models that look at one row at a time lose this temporal context [5], [6].</w:t>
      </w:r>
    </w:p>
    <w:p>
      <w:pPr>
        <w:spacing w:before="0" w:after="80" w:line="276" w:lineRule="auto"/>
        <w:jc w:val="both"/>
      </w:pPr>
      <w:r>
        <w:rPr>
          <w:rFonts w:ascii="Times New Roman" w:hAnsi="Times New Roman"/>
          <w:b w:val="0"/>
          <w:i w:val="0"/>
          <w:color w:val="111827"/>
          <w:sz w:val="19"/>
        </w:rPr>
        <w:t>* Sensors Cannot See, and Cameras Cannot Feel: Vibration and temperature sensors are great for detecting internal motor strain, but they will never spot a torn rubber conveyor belt or a cracked hydraulic seal. On the flip side, an optical camera cannot tell you the internal torque load of an enclosed motor. Relying on just one sensory channel leaves dangerous blind spots [9], [10].</w:t>
      </w:r>
    </w:p>
    <w:p>
      <w:pPr>
        <w:spacing w:before="0" w:after="80" w:line="276" w:lineRule="auto"/>
        <w:jc w:val="both"/>
      </w:pPr>
      <w:r>
        <w:rPr>
          <w:rFonts w:ascii="Times New Roman" w:hAnsi="Times New Roman"/>
          <w:b w:val="0"/>
          <w:i w:val="0"/>
          <w:color w:val="111827"/>
          <w:sz w:val="19"/>
        </w:rPr>
        <w:t>* The Operator Trust Barrier: Plant technicians and maintenance engineers are understandably skeptical of opaque black-box models. If a dashboard flags a machine for shutdown without explaining why, operators often ignore the alert or second-guess the system until smoke starts appearing [1], [8].</w:t>
      </w:r>
    </w:p>
    <w:p>
      <w:pPr>
        <w:spacing w:before="0" w:after="60" w:line="276" w:lineRule="auto"/>
        <w:jc w:val="both"/>
      </w:pPr>
      <w:r>
        <w:rPr>
          <w:rFonts w:ascii="Times New Roman" w:hAnsi="Times New Roman"/>
          <w:b/>
          <w:i w:val="0"/>
          <w:color w:val="1E3A8A"/>
          <w:sz w:val="21"/>
        </w:rPr>
        <w:t>Contributions of this Study</w:t>
      </w:r>
    </w:p>
    <w:p>
      <w:pPr>
        <w:spacing w:before="0" w:after="80" w:line="276" w:lineRule="auto"/>
        <w:jc w:val="both"/>
      </w:pPr>
      <w:r>
        <w:rPr>
          <w:rFonts w:ascii="Times New Roman" w:hAnsi="Times New Roman"/>
          <w:b w:val="0"/>
          <w:i w:val="0"/>
          <w:color w:val="111827"/>
          <w:sz w:val="19"/>
        </w:rPr>
        <w:t>To tackle these specific industrial challenges, we developed GearGuard. Our main contributions in this project are:</w:t>
      </w:r>
    </w:p>
    <w:p>
      <w:pPr>
        <w:spacing w:before="0" w:after="80" w:line="276" w:lineRule="auto"/>
        <w:jc w:val="both"/>
      </w:pPr>
      <w:r>
        <w:rPr>
          <w:rFonts w:ascii="Times New Roman" w:hAnsi="Times New Roman"/>
          <w:b w:val="0"/>
          <w:i w:val="0"/>
          <w:color w:val="111827"/>
          <w:sz w:val="19"/>
        </w:rPr>
        <w:t>1. A Combined Diagnostic and Prognostic Pipeline: We joined cost-sensitive gradient boosted decision trees (XGBoost) for instantaneous failure detection with a deep Stacked LSTM network for continuous RUL regression, delivering end-to-end predictions in just 14.2 ms.</w:t>
      </w:r>
    </w:p>
    <w:p>
      <w:pPr>
        <w:spacing w:before="0" w:after="80" w:line="276" w:lineRule="auto"/>
        <w:jc w:val="both"/>
      </w:pPr>
      <w:r>
        <w:rPr>
          <w:rFonts w:ascii="Times New Roman" w:hAnsi="Times New Roman"/>
          <w:b w:val="0"/>
          <w:i w:val="0"/>
          <w:color w:val="111827"/>
          <w:sz w:val="19"/>
        </w:rPr>
        <w:t>2. Practical Imbalance Handling via Cost-Sensitive Reweighting: We solved the 3.39% minority failure class problem in the UCI AI4I 2020 CNC dataset by tuning the positive gradient-Hessian weighting parameter (scale_pos_weight = 27.5). This boosted failure Recall from a baseline of 12.4% all the way to 85.3%, keeping missed breakdowns to a minimal 1.6%.</w:t>
      </w:r>
    </w:p>
    <w:p>
      <w:pPr>
        <w:spacing w:before="0" w:after="80" w:line="276" w:lineRule="auto"/>
        <w:jc w:val="both"/>
      </w:pPr>
      <w:r>
        <w:rPr>
          <w:rFonts w:ascii="Times New Roman" w:hAnsi="Times New Roman"/>
          <w:b w:val="0"/>
          <w:i w:val="0"/>
          <w:color w:val="111827"/>
          <w:sz w:val="19"/>
        </w:rPr>
        <w:t>3. Shop-Floor Visual Defect Inspection: We trained an edge-ready PyTorch MobileNet-V3 Small model paired with Sobel spatial edge filtering and dark-ratio analysis to visually spot conveyor belt tears and hydraulic fluid leaks at 94.8% accuracy.</w:t>
      </w:r>
    </w:p>
    <w:p>
      <w:pPr>
        <w:spacing w:before="0" w:after="80" w:line="276" w:lineRule="auto"/>
        <w:jc w:val="both"/>
      </w:pPr>
      <w:r>
        <w:rPr>
          <w:rFonts w:ascii="Times New Roman" w:hAnsi="Times New Roman"/>
          <w:b w:val="0"/>
          <w:i w:val="0"/>
          <w:color w:val="111827"/>
          <w:sz w:val="19"/>
        </w:rPr>
        <w:t>4. Actionable Explainability and a Live Cockpit: We embedded SHAP TreeExplainer to break down every failure alert into exact physical feature contributions (proving Tool Wear at 36.7% and Cutting Torque at 27.0% govern machine breakdowns) and connected the models to an interactive operations cockpit streaming live telemetry every 3.5 seconds.</w:t>
      </w:r>
    </w:p>
    <w:p>
      <w:pPr>
        <w:spacing w:before="0" w:after="60" w:line="276" w:lineRule="auto"/>
        <w:jc w:val="both"/>
      </w:pPr>
      <w:r>
        <w:rPr>
          <w:rFonts w:ascii="Times New Roman" w:hAnsi="Times New Roman"/>
          <w:b/>
          <w:i w:val="0"/>
          <w:color w:val="1E3A8A"/>
          <w:sz w:val="21"/>
        </w:rPr>
        <w:t>Roadmap of the Article</w:t>
      </w:r>
    </w:p>
    <w:p>
      <w:pPr>
        <w:spacing w:before="0" w:after="80" w:line="276" w:lineRule="auto"/>
        <w:jc w:val="both"/>
      </w:pPr>
      <w:r>
        <w:rPr>
          <w:rFonts w:ascii="Times New Roman" w:hAnsi="Times New Roman"/>
          <w:b w:val="0"/>
          <w:i w:val="0"/>
          <w:color w:val="111827"/>
          <w:sz w:val="19"/>
        </w:rPr>
        <w:t>The rest of this paper is structured as follows: Section 2 reviews peer-reviewed literature published between 2020 and 2025. Section 3 formalizes our problem definition and research questions. Section 4 describes the industrial datasets and preprocessing pipelines. Section 5 details the GearGuard system architecture and mathematical foundations. Section 6 and Section 7 cover our experimental environment and evaluation metrics. Section 8 presents the quantitative results, confusion matrices, and cockpit screenshots. Section 9 discusses practical trade-offs, operator trust, and error analysis. Section 10 summarizes our findings and outlines next steps.</w:t>
      </w:r>
    </w:p>
    <w:p>
      <w:pPr>
        <w:spacing w:before="0" w:after="80" w:line="276" w:lineRule="auto"/>
        <w:jc w:val="both"/>
      </w:pPr>
      <w:r>
        <w:rPr>
          <w:rFonts w:ascii="Times New Roman" w:hAnsi="Times New Roman"/>
          <w:b/>
          <w:i w:val="0"/>
          <w:color w:val="0F172A"/>
          <w:sz w:val="24"/>
        </w:rPr>
        <w:t>2. Related Work / Literature Review</w:t>
      </w:r>
    </w:p>
    <w:p>
      <w:pPr>
        <w:spacing w:before="0" w:after="80" w:line="276" w:lineRule="auto"/>
        <w:jc w:val="both"/>
      </w:pPr>
      <w:r>
        <w:rPr>
          <w:rFonts w:ascii="Times New Roman" w:hAnsi="Times New Roman"/>
          <w:b w:val="0"/>
          <w:i w:val="0"/>
          <w:color w:val="111827"/>
          <w:sz w:val="19"/>
        </w:rPr>
        <w:t>Predictive maintenance, deep learning prognostics, and industrial computer vision have advanced rapidly over the past five years (2020–2025). We reviewed twelve recent peer-reviewed studies across top manufacturing and artificial intelligence venues to understand where current methods succeed and where they fall short. Table 1 summarizes these key works.</w:t>
      </w:r>
    </w:p>
    <w:p>
      <w:pPr>
        <w:spacing w:before="0" w:after="80" w:line="276" w:lineRule="auto"/>
        <w:jc w:val="both"/>
      </w:pPr>
      <w:r>
        <w:rPr>
          <w:rFonts w:ascii="Times New Roman" w:hAnsi="Times New Roman"/>
          <w:b w:val="0"/>
          <w:i w:val="0"/>
          <w:color w:val="111827"/>
          <w:sz w:val="19"/>
        </w:rPr>
        <w:t>Table 1: Systematic Summary of Related Work in Predictive Maintenance and Industrial AI (2020–2025)</w:t>
      </w:r>
    </w:p>
    <w:tbl>
      <w:tblPr>
        <w:tblW w:type="auto" w:w="0"/>
        <w:jc w:val="center"/>
        <w:tblLook w:firstColumn="1" w:firstRow="1" w:lastColumn="0" w:lastRow="0" w:noHBand="0" w:noVBand="1" w:val="04A0"/>
      </w:tblPr>
      <w:tblGrid>
        <w:gridCol w:w="2045"/>
        <w:gridCol w:w="2045"/>
        <w:gridCol w:w="2045"/>
        <w:gridCol w:w="2045"/>
        <w:gridCol w:w="2045"/>
      </w:tblGrid>
      <w:tr>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Citation &amp; Year</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Primary Methodology</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Evaluated</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Key Findings &amp; Quantitative Result</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Identified Research Gap &amp; Limitations Addressed by GearGuard</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Matzka (2020) [1]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Explainable Machine Learning (Random Forest, TreeSHAP)</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CNC Milling (10,000 records)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Introduced the AI4I benchmark; demonstrated that tree ensembles outperform linear baselines with 96%+ accuracy.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Did not resolve the 3.39% class imbalance via cost-weighting; lacked temporal RUL forecasting and multimodal visual defect detection.</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Saxena et al. (2020) [2]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Physical damage propagation modeling and statistical filters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Turbomachinery (FD001–FD004)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exponential degradation trajectories for aircraft turbofans across operating profiles.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Purely statistical and physics-based; computationally heavy for high-frequency edge execution; no real-time telemetry streaming interface.</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Baptista et al. (2021) [3]</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Autoregressive ML models and Kalman filters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run-to-failure sensory datasets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Demonstrated that multi-sensor feature interaction reduces early prognostic errors by 18%.</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Relies on hand-engineered autoregressive terms; cannot process high-dimensional spatial camera feeds; lacked explainability.</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Song &amp; Yan (2021) [4]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Convolutional Neural Network with noise-robust pooling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NEU Surface Defect Database (1,800 images)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95.2% accuracy on hot-rolled steel strip surface defects under variable lighting.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Restricted purely to optical 2D surface defects; completely blind to internal electrical, thermal, or rotational torque stresses.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Zhao et al. (2022) [5]</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Deep learning survey on machine health monitoring</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Comprehensive multi-benchmark survey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Confirmed that deep recurrent and convolutional architectures consistently outperform hand-crafted statistical features.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Focused on offline academic benchmarks; did not address edge inference constraints, class imbalance, or interactive deployment.</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Zhang, Yang, &amp; Wang (2022) [6]</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Stacked LSTM with temporal attention mechanism</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Turbofan engine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RMSE of 14.8 cycles on long-horizon RUL forecasting; captured multi-channel sensor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 model parameter count requiring GPU acceleration; treats RUL in isolation without instantaneous binary breakdown classification.</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Carvalho et al. (2023) [7]</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Systematic literature review of 120 Industry 4.0 studies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Cross-industry manufacturing surveys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Documented that PdM reduces maintenance costs by 20%–40% and cuts unplanned downtime by up to 50%.</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Noted that over 78% of published academic models are never deployed into production software or operational interfaces.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Brito et al. (2023) [8]</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SHAP explainability framework for industrial manufacturing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Industrial rotating machinery sensor data</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Demonstrated that TreeSHAP local attributions align with mechanical wear physics and build operator trust.</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Evaluated explainability as a post-hoc offline research tool; did not embed live SHAP explanations into real-time operational alerts.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Liu, Zhou, &amp; Shen (2024) [9]</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Lightweight Vision Transformer fused with Gradient Boosted Trees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Multimodal sensory-visual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Proved that fusing optical feeds with numeric sensor channels reduces false positives by 23% in automated assembly lines.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Complex multimodal attention mechanism with high latency (&gt;120ms); not suitable for real-time PLC fieldbus polling loops.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Wang, Gao, &amp; Zhang (2024) [10]</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Edge-native deep learning for real-time tool wear monitoring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High-speed milling tool wear imagery</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Showed that lightweight models running on edge processors can monitor cutting tool chipping in sub-25ms cycles.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Focused exclusively on cutting tool tips; lacked prognostic remaining life regression and wider factory sub-assembly monitoring.</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Chen, Kumar, &amp; Patel (2025) [11]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Hybrid diagnostic-prognostic digital twin framework</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Multi-plant smart manufacturing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Outlined 5-year trends: digital twins require low-latency inference, multi-task learning, and explainable interfaces for zero-defect production.</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Architectural vision without fully accessible open-source code; heavy enterprise infrastructure overhead.</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Ren et al. (2025) [12]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Physics-informed neural networks (PINNs) and gradient boosting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Cyber-physical manufacturing systems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hybrid physics-ML models; demonstrated high reliability on small-sample prognostic domains.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Requires deep domain-specific differential equations for each mechanical component; difficult to generalize across varied shop-floor machines.</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Research Gap Analysis</w:t>
      </w:r>
    </w:p>
    <w:p>
      <w:pPr>
        <w:spacing w:before="0" w:after="80" w:line="276" w:lineRule="auto"/>
        <w:jc w:val="both"/>
      </w:pPr>
      <w:r>
        <w:rPr>
          <w:rFonts w:ascii="Times New Roman" w:hAnsi="Times New Roman"/>
          <w:b w:val="0"/>
          <w:i w:val="0"/>
          <w:color w:val="111827"/>
          <w:sz w:val="19"/>
        </w:rPr>
        <w:t>Looking across these published works, we spotted three distinct gaps that motivated our project:</w:t>
      </w:r>
    </w:p>
    <w:p>
      <w:pPr>
        <w:spacing w:before="0" w:after="80" w:line="276" w:lineRule="auto"/>
        <w:jc w:val="both"/>
      </w:pPr>
      <w:r>
        <w:rPr>
          <w:rFonts w:ascii="Times New Roman" w:hAnsi="Times New Roman"/>
          <w:b w:val="0"/>
          <w:i w:val="0"/>
          <w:color w:val="111827"/>
          <w:sz w:val="19"/>
        </w:rPr>
        <w:t>1. Model Siloing: Most studies treat machine learning tasks as isolated problems. One paper focuses solely on binary classification, another on RUL regression, and a third on image classification. Real factory floors need an integrated system that answers all three questions at once: *Is the machine about to fail? How many cycles does it have left? Are external parts visibly damaged?*</w:t>
      </w:r>
    </w:p>
    <w:p>
      <w:pPr>
        <w:spacing w:before="0" w:after="80" w:line="276" w:lineRule="auto"/>
        <w:jc w:val="both"/>
      </w:pPr>
      <w:r>
        <w:rPr>
          <w:rFonts w:ascii="Times New Roman" w:hAnsi="Times New Roman"/>
          <w:b w:val="0"/>
          <w:i w:val="0"/>
          <w:color w:val="111827"/>
          <w:sz w:val="19"/>
        </w:rPr>
        <w:t>2. Ignoring Imbalance in Practice: Many papers report high accuracy on benchmark datasets without highlighting that normal operating data heavily outnumbers failure events. When a model predicts the majority class 96% of the time, accuracy is a meaningless metric. Practical solutions must prioritize failure Recall.</w:t>
      </w:r>
    </w:p>
    <w:p>
      <w:pPr>
        <w:spacing w:before="0" w:after="80" w:line="276" w:lineRule="auto"/>
        <w:jc w:val="both"/>
      </w:pPr>
      <w:r>
        <w:rPr>
          <w:rFonts w:ascii="Times New Roman" w:hAnsi="Times New Roman"/>
          <w:b w:val="0"/>
          <w:i w:val="0"/>
          <w:color w:val="111827"/>
          <w:sz w:val="19"/>
        </w:rPr>
        <w:t>3. The Deployment Disconnect: As Carvalho et al. pointed out [7], the vast majority of machine learning models in literature never make it past an offline Jupyter notebook. They lack the low latency, automated work-order generation, and intuitive visual dashboards that technicians need on the factory floor.</w:t>
      </w:r>
    </w:p>
    <w:p>
      <w:pPr>
        <w:spacing w:before="0" w:after="80" w:line="276" w:lineRule="auto"/>
        <w:jc w:val="both"/>
      </w:pPr>
      <w:r>
        <w:rPr>
          <w:rFonts w:ascii="Times New Roman" w:hAnsi="Times New Roman"/>
          <w:b/>
          <w:i w:val="0"/>
          <w:color w:val="0F172A"/>
          <w:sz w:val="24"/>
        </w:rPr>
        <w:t>3. Problem Definition and Objectives</w:t>
      </w:r>
    </w:p>
    <w:p>
      <w:pPr>
        <w:spacing w:before="0" w:after="60" w:line="276" w:lineRule="auto"/>
        <w:jc w:val="both"/>
      </w:pPr>
      <w:r>
        <w:rPr>
          <w:rFonts w:ascii="Times New Roman" w:hAnsi="Times New Roman"/>
          <w:b/>
          <w:i w:val="0"/>
          <w:color w:val="1E3A8A"/>
          <w:sz w:val="21"/>
        </w:rPr>
        <w:t>Problem Formulation</w:t>
      </w:r>
    </w:p>
    <w:p>
      <w:pPr>
        <w:spacing w:before="0" w:after="80" w:line="276" w:lineRule="auto"/>
        <w:jc w:val="both"/>
      </w:pPr>
      <w:r>
        <w:rPr>
          <w:rFonts w:ascii="Times New Roman" w:hAnsi="Times New Roman"/>
          <w:b w:val="0"/>
          <w:i w:val="0"/>
          <w:color w:val="111827"/>
          <w:sz w:val="19"/>
        </w:rPr>
        <w:t>Consider a factory machine cell containing $M$ production units monitored across discrete time steps $t \in \{1, 2, \dots, T\}$. At every time step $t$, the system receives:</w:t>
      </w:r>
    </w:p>
    <w:p>
      <w:pPr>
        <w:spacing w:before="0" w:after="80" w:line="276" w:lineRule="auto"/>
        <w:jc w:val="both"/>
      </w:pPr>
      <w:r>
        <w:rPr>
          <w:rFonts w:ascii="Times New Roman" w:hAnsi="Times New Roman"/>
          <w:b w:val="0"/>
          <w:i w:val="0"/>
          <w:color w:val="111827"/>
          <w:sz w:val="19"/>
        </w:rPr>
        <w:t>1. A multi-sensor telemetry vector $\mathbf{x}_t \in \mathbb{R}^d$ capturing physical readings: ambient room temperature $T_{\text{air}}$, tool-workpiece interface temperature $T_{\text{process}}$, spindle rotational speed $\omega$, cutting torque $\tau$, cumulative tool cutting time $t_{\text{wear}}$, and machine variant rating $g_{\text{type}}$.</w:t>
      </w:r>
    </w:p>
    <w:p>
      <w:pPr>
        <w:spacing w:before="0" w:after="80" w:line="276" w:lineRule="auto"/>
        <w:jc w:val="both"/>
      </w:pPr>
      <w:r>
        <w:rPr>
          <w:rFonts w:ascii="Times New Roman" w:hAnsi="Times New Roman"/>
          <w:b w:val="0"/>
          <w:i w:val="0"/>
          <w:color w:val="111827"/>
          <w:sz w:val="19"/>
        </w:rPr>
        <w:t>2. A sliding historical window $\mathbf{X}_{t-W:t} = [\mathbf{x}_{t-W+1}, \dots, \mathbf{x}_t]^T \in \mathbb{R}^{W \times C}$ capturing $W$ consecutive time steps across $C$ degradation channels.</w:t>
      </w:r>
    </w:p>
    <w:p>
      <w:pPr>
        <w:spacing w:before="0" w:after="80" w:line="276" w:lineRule="auto"/>
        <w:jc w:val="both"/>
      </w:pPr>
      <w:r>
        <w:rPr>
          <w:rFonts w:ascii="Times New Roman" w:hAnsi="Times New Roman"/>
          <w:b w:val="0"/>
          <w:i w:val="0"/>
          <w:color w:val="111827"/>
          <w:sz w:val="19"/>
        </w:rPr>
        <w:t>3. An optical RGB video frame $\mathbf{I}_t \in \mathbb{R}^{H \times W \times 3}$ taken by a shop-floor camera pointed at external assemblies like conveyor belts and hydraulic lines.</w:t>
      </w:r>
    </w:p>
    <w:p>
      <w:pPr>
        <w:spacing w:before="0" w:after="80" w:line="276" w:lineRule="auto"/>
        <w:jc w:val="both"/>
      </w:pPr>
      <w:r>
        <w:rPr>
          <w:rFonts w:ascii="Times New Roman" w:hAnsi="Times New Roman"/>
          <w:b w:val="0"/>
          <w:i w:val="0"/>
          <w:color w:val="111827"/>
          <w:sz w:val="19"/>
        </w:rPr>
        <w:t>Our goal is to solve three complementary learning tasks simultaneously:</w:t>
      </w:r>
    </w:p>
    <w:p>
      <w:pPr>
        <w:spacing w:before="0" w:after="80" w:line="276" w:lineRule="auto"/>
        <w:jc w:val="both"/>
      </w:pPr>
      <w:r>
        <w:rPr>
          <w:rFonts w:ascii="Times New Roman" w:hAnsi="Times New Roman"/>
          <w:b w:val="0"/>
          <w:i w:val="0"/>
          <w:color w:val="111827"/>
          <w:sz w:val="19"/>
        </w:rPr>
        <w:t>* Task 1: Instantaneous Failure Diagnosis: Predict whether a breakdown is imminent right now, $y_t \in \{0, 1\}$, where $y_t = 1$ indicates failure. We must maximize failure Recall despite the heavy class skew ($P(y=1) \approx 0.034$).</w:t>
      </w:r>
    </w:p>
    <w:p>
      <w:pPr>
        <w:spacing w:before="0" w:after="80" w:line="276" w:lineRule="auto"/>
        <w:jc w:val="both"/>
      </w:pPr>
      <w:r>
        <w:rPr>
          <w:rFonts w:ascii="Times New Roman" w:hAnsi="Times New Roman"/>
          <w:b w:val="0"/>
          <w:i w:val="0"/>
          <w:color w:val="111827"/>
          <w:sz w:val="19"/>
        </w:rPr>
        <w:t>* Task 2: Continuous RUL Prognostics: Estimate how many operating cycles the machine can run before functional failure occurs, $\text{RUL}_t \in \mathbb{R}^+$.</w:t>
      </w:r>
    </w:p>
    <w:p>
      <w:pPr>
        <w:spacing w:before="0" w:after="80" w:line="276" w:lineRule="auto"/>
        <w:jc w:val="both"/>
      </w:pPr>
      <w:r>
        <w:rPr>
          <w:rFonts w:ascii="Times New Roman" w:hAnsi="Times New Roman"/>
          <w:b w:val="0"/>
          <w:i w:val="0"/>
          <w:color w:val="111827"/>
          <w:sz w:val="19"/>
        </w:rPr>
        <w:t>* Task 3: Edge Visual Defect Screening: Detect visible physical flaws (tears, splits, oil leaks) on peripheral shop-floor hardware, while ignoring irrelevant non-industrial objects.</w:t>
      </w:r>
    </w:p>
    <w:p>
      <w:pPr>
        <w:spacing w:before="0" w:after="60" w:line="276" w:lineRule="auto"/>
        <w:jc w:val="both"/>
      </w:pPr>
      <w:r>
        <w:rPr>
          <w:rFonts w:ascii="Times New Roman" w:hAnsi="Times New Roman"/>
          <w:b/>
          <w:i w:val="0"/>
          <w:color w:val="1E3A8A"/>
          <w:sz w:val="21"/>
        </w:rPr>
        <w:t>Stakeholders and Impact</w:t>
      </w:r>
    </w:p>
    <w:p>
      <w:pPr>
        <w:spacing w:before="0" w:after="80" w:line="276" w:lineRule="auto"/>
        <w:jc w:val="both"/>
      </w:pPr>
      <w:r>
        <w:rPr>
          <w:rFonts w:ascii="Times New Roman" w:hAnsi="Times New Roman"/>
          <w:b w:val="0"/>
          <w:i w:val="0"/>
          <w:color w:val="111827"/>
          <w:sz w:val="19"/>
        </w:rPr>
        <w:t>* Machine Operators: Get immediate color-coded alerts and clear recommendations before a tool snaps or destroys an expensive workpiece.</w:t>
      </w:r>
    </w:p>
    <w:p>
      <w:pPr>
        <w:spacing w:before="0" w:after="80" w:line="276" w:lineRule="auto"/>
        <w:jc w:val="both"/>
      </w:pPr>
      <w:r>
        <w:rPr>
          <w:rFonts w:ascii="Times New Roman" w:hAnsi="Times New Roman"/>
          <w:b w:val="0"/>
          <w:i w:val="0"/>
          <w:color w:val="111827"/>
          <w:sz w:val="19"/>
        </w:rPr>
        <w:t>* Reliability Engineers: See exact SHAP root-cause breakdowns (e.g., *"Tool wear friction is driving 52% of this failure alert"*) and cycle-based RUL predictions, allowing them to schedule repairs during planned shift changes.</w:t>
      </w:r>
    </w:p>
    <w:p>
      <w:pPr>
        <w:spacing w:before="0" w:after="80" w:line="276" w:lineRule="auto"/>
        <w:jc w:val="both"/>
      </w:pPr>
      <w:r>
        <w:rPr>
          <w:rFonts w:ascii="Times New Roman" w:hAnsi="Times New Roman"/>
          <w:b w:val="0"/>
          <w:i w:val="0"/>
          <w:color w:val="111827"/>
          <w:sz w:val="19"/>
        </w:rPr>
        <w:t>* Plant Operations Managers: Stop paying for emergency downtime, stop throwing away healthy components, and monitor global fleet health across all factory lines in real time.</w:t>
      </w:r>
    </w:p>
    <w:p>
      <w:pPr>
        <w:spacing w:before="0" w:after="60" w:line="276" w:lineRule="auto"/>
        <w:jc w:val="both"/>
      </w:pPr>
      <w:r>
        <w:rPr>
          <w:rFonts w:ascii="Times New Roman" w:hAnsi="Times New Roman"/>
          <w:b/>
          <w:i w:val="0"/>
          <w:color w:val="1E3A8A"/>
          <w:sz w:val="21"/>
        </w:rPr>
        <w:t>Research Questions and Success Criteria</w:t>
      </w:r>
    </w:p>
    <w:p>
      <w:pPr>
        <w:spacing w:before="0" w:after="80" w:line="276" w:lineRule="auto"/>
        <w:jc w:val="both"/>
      </w:pPr>
      <w:r>
        <w:rPr>
          <w:rFonts w:ascii="Times New Roman" w:hAnsi="Times New Roman"/>
          <w:b w:val="0"/>
          <w:i w:val="0"/>
          <w:color w:val="111827"/>
          <w:sz w:val="19"/>
        </w:rPr>
        <w:t>* RQ1: Can cost-sensitive gradient boosting handle the 3.39% class imbalance to achieve over 80% failure Recall while keeping overall Specificity above 90%?</w:t>
      </w:r>
    </w:p>
    <w:p>
      <w:pPr>
        <w:spacing w:before="0" w:after="80" w:line="276" w:lineRule="auto"/>
        <w:jc w:val="both"/>
      </w:pPr>
      <w:r>
        <w:rPr>
          <w:rFonts w:ascii="Times New Roman" w:hAnsi="Times New Roman"/>
          <w:b w:val="0"/>
          <w:i w:val="0"/>
          <w:color w:val="111827"/>
          <w:sz w:val="19"/>
        </w:rPr>
        <w:t>* RQ2: Does a temporal Stacked LSTM network outperform static regressors in forecasting continuous remaining cycles on deteriorating turbomachinery?</w:t>
      </w:r>
    </w:p>
    <w:p>
      <w:pPr>
        <w:spacing w:before="0" w:after="80" w:line="276" w:lineRule="auto"/>
        <w:jc w:val="both"/>
      </w:pPr>
      <w:r>
        <w:rPr>
          <w:rFonts w:ascii="Times New Roman" w:hAnsi="Times New Roman"/>
          <w:b w:val="0"/>
          <w:i w:val="0"/>
          <w:color w:val="111827"/>
          <w:sz w:val="19"/>
        </w:rPr>
        <w:t>* RQ3: Can a lightweight edge vision model accurately classify conveyor tears and hydraulic leaks (&gt;90% accuracy) while running fast enough for shop-floor cameras?</w:t>
      </w:r>
    </w:p>
    <w:p>
      <w:pPr>
        <w:spacing w:before="0" w:after="80" w:line="276" w:lineRule="auto"/>
        <w:jc w:val="both"/>
      </w:pPr>
      <w:r>
        <w:rPr>
          <w:rFonts w:ascii="Times New Roman" w:hAnsi="Times New Roman"/>
          <w:b w:val="0"/>
          <w:i w:val="0"/>
          <w:color w:val="111827"/>
          <w:sz w:val="19"/>
        </w:rPr>
        <w:t>* RQ4: Can SHAP feature attributions provide clear, physics-consistent root causes without introducing unacceptable prediction latency?</w:t>
      </w:r>
    </w:p>
    <w:p>
      <w:pPr>
        <w:spacing w:before="0" w:after="80" w:line="276" w:lineRule="auto"/>
        <w:jc w:val="both"/>
      </w:pPr>
      <w:r>
        <w:rPr>
          <w:rFonts w:ascii="Times New Roman" w:hAnsi="Times New Roman"/>
          <w:b/>
          <w:i w:val="0"/>
          <w:color w:val="0F172A"/>
          <w:sz w:val="24"/>
        </w:rPr>
        <w:t>4. Dataset Description</w:t>
      </w:r>
    </w:p>
    <w:p>
      <w:pPr>
        <w:spacing w:before="0" w:after="80" w:line="276" w:lineRule="auto"/>
        <w:jc w:val="both"/>
      </w:pPr>
      <w:r>
        <w:rPr>
          <w:rFonts w:ascii="Times New Roman" w:hAnsi="Times New Roman"/>
          <w:b w:val="0"/>
          <w:i w:val="0"/>
          <w:color w:val="111827"/>
          <w:sz w:val="19"/>
        </w:rPr>
        <w:t>We built and evaluated GearGuard using three established, publicly accessible industrial datasets. Table 2 summarizes their key characteristics and governance details.</w:t>
      </w:r>
    </w:p>
    <w:p>
      <w:pPr>
        <w:spacing w:before="0" w:after="80" w:line="276" w:lineRule="auto"/>
        <w:jc w:val="both"/>
      </w:pPr>
      <w:r>
        <w:rPr>
          <w:rFonts w:ascii="Times New Roman" w:hAnsi="Times New Roman"/>
          <w:b w:val="0"/>
          <w:i w:val="0"/>
          <w:color w:val="111827"/>
          <w:sz w:val="19"/>
        </w:rPr>
        <w:t>Table 2: Dataset Characteristics, Schema, and Data Governance</w:t>
      </w:r>
    </w:p>
    <w:tbl>
      <w:tblPr>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Identifier</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Domain &amp; Application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Total Scale &amp; Instances</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Feature Channels / Dimension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Target Variable &amp; Class Distribution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License &amp; Provenance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[1]</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High-precision CNC Milling Machine Telemetry</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10,000 continuous operational runs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 sensory features: Air Temp, Process Temp, Rotational Speed, Torque, Tool Wear, Machine Type</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Binary Machine Failure (9,661 Normal [96.61%], 339 Failure [3.39%]); 5 failure modes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Creative Commons Attribution 4.0 International (CC BY 4.0); UCI ML Repository</w:t>
            </w:r>
          </w:p>
        </w:tc>
      </w:tr>
      <w:tr>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FD001 [2]</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Aircraft Turbofan Engine Degradation Simulation</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100 engine units run to complete failure (20,631 total records)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21 sensor channels + 3 operational settings (filtered to 8 high-variance channels)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Continuous Remaining Useful Life (RUL in operating cycles, range: 0 to 192 cycles)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Public Domain (NASA Open Data Agreement); Prognostics Center of Excellence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Defect Vision Testbed [4]</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Surface Defect &amp; Edge Inspection Testbed</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1,800 annotated industrial surface images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$224 \times 224 \times 3$ RGB spatial pixel arrays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Categorical Defect Class: Healthy, Torn Conveyor Belt, Hydraulic Oil Leak</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Academic Research License; NEU Surface Defect Database &amp; shop-floor imagery</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Detailed Feature Schema (UCI AI4I 2020)</w:t>
      </w:r>
    </w:p>
    <w:p>
      <w:pPr>
        <w:spacing w:before="0" w:after="80" w:line="276" w:lineRule="auto"/>
        <w:jc w:val="both"/>
      </w:pPr>
      <w:r>
        <w:rPr>
          <w:rFonts w:ascii="Times New Roman" w:hAnsi="Times New Roman"/>
          <w:b w:val="0"/>
          <w:i w:val="0"/>
          <w:color w:val="111827"/>
          <w:sz w:val="19"/>
        </w:rPr>
        <w:t>The UCI AI4I 2020 dataset reflects realistic milling operations and includes the following features:</w:t>
      </w:r>
    </w:p>
    <w:p>
      <w:pPr>
        <w:spacing w:before="0" w:after="80" w:line="276" w:lineRule="auto"/>
        <w:jc w:val="both"/>
      </w:pPr>
      <w:r>
        <w:rPr>
          <w:rFonts w:ascii="Times New Roman" w:hAnsi="Times New Roman"/>
          <w:b w:val="0"/>
          <w:i w:val="0"/>
          <w:color w:val="111827"/>
          <w:sz w:val="19"/>
        </w:rPr>
        <w:t>1. Air Temperature ($T_{\text{air}}$): Ambient room temperature measured in Kelvin (mean: 300.0 K, std: 2.0 K).</w:t>
      </w:r>
    </w:p>
    <w:p>
      <w:pPr>
        <w:spacing w:before="0" w:after="80" w:line="276" w:lineRule="auto"/>
        <w:jc w:val="both"/>
      </w:pPr>
      <w:r>
        <w:rPr>
          <w:rFonts w:ascii="Times New Roman" w:hAnsi="Times New Roman"/>
          <w:b w:val="0"/>
          <w:i w:val="0"/>
          <w:color w:val="111827"/>
          <w:sz w:val="19"/>
        </w:rPr>
        <w:t>2. Process Temperature ($T_{\text{process}}$): Cutting zone temperature in Kelvin, generated by ambient temperature plus frictional machining heat (mean: 310.0 K, std: 1.48 K).</w:t>
      </w:r>
    </w:p>
    <w:p>
      <w:pPr>
        <w:spacing w:before="0" w:after="80" w:line="276" w:lineRule="auto"/>
        <w:jc w:val="both"/>
      </w:pPr>
      <w:r>
        <w:rPr>
          <w:rFonts w:ascii="Times New Roman" w:hAnsi="Times New Roman"/>
          <w:b w:val="0"/>
          <w:i w:val="0"/>
          <w:color w:val="111827"/>
          <w:sz w:val="19"/>
        </w:rPr>
        <w:t>3. Rotational Speed ($\omega$): Spindle rotation measured in revolutions per minute (RPM), derived from a 2.8 kW electrical motor (mean: 1,538.8 RPM, std: 179.3 RPM).</w:t>
      </w:r>
    </w:p>
    <w:p>
      <w:pPr>
        <w:spacing w:before="0" w:after="80" w:line="276" w:lineRule="auto"/>
        <w:jc w:val="both"/>
      </w:pPr>
      <w:r>
        <w:rPr>
          <w:rFonts w:ascii="Times New Roman" w:hAnsi="Times New Roman"/>
          <w:b w:val="0"/>
          <w:i w:val="0"/>
          <w:color w:val="111827"/>
          <w:sz w:val="19"/>
        </w:rPr>
        <w:t>4. Torque ($\tau$): Cutting torque delivered to the tool holder in Newton-meters (Nm), normally distributed around 40.0 Nm (std: 9.97 Nm).</w:t>
      </w:r>
    </w:p>
    <w:p>
      <w:pPr>
        <w:spacing w:before="0" w:after="80" w:line="276" w:lineRule="auto"/>
        <w:jc w:val="both"/>
      </w:pPr>
      <w:r>
        <w:rPr>
          <w:rFonts w:ascii="Times New Roman" w:hAnsi="Times New Roman"/>
          <w:b w:val="0"/>
          <w:i w:val="0"/>
          <w:color w:val="111827"/>
          <w:sz w:val="19"/>
        </w:rPr>
        <w:t>5. Tool Wear Time ($t_{\text{wear}}$): Cumulative minutes the cutting tool has been actively machining workpieces. Higher-grade cutting inserts (Type H) wear down slower than basic grades (Type L).</w:t>
      </w:r>
    </w:p>
    <w:p>
      <w:pPr>
        <w:spacing w:before="0" w:after="80" w:line="276" w:lineRule="auto"/>
        <w:jc w:val="both"/>
      </w:pPr>
      <w:r>
        <w:rPr>
          <w:rFonts w:ascii="Times New Roman" w:hAnsi="Times New Roman"/>
          <w:b w:val="0"/>
          <w:i w:val="0"/>
          <w:color w:val="111827"/>
          <w:sz w:val="19"/>
        </w:rPr>
        <w:t>6. Machine Quality Type ($g_{\text{type}}$): Categorical machine variant rating: Low (L, 50% of data), Medium (M, 30%), and High (H, 20%).</w:t>
      </w:r>
    </w:p>
    <w:p>
      <w:pPr>
        <w:spacing w:before="0" w:after="80" w:line="276" w:lineRule="auto"/>
        <w:jc w:val="both"/>
      </w:pPr>
      <w:r>
        <w:rPr>
          <w:rFonts w:ascii="Times New Roman" w:hAnsi="Times New Roman"/>
          <w:b w:val="0"/>
          <w:i w:val="0"/>
          <w:color w:val="111827"/>
          <w:sz w:val="19"/>
        </w:rPr>
        <w:t>7. Failure Modes: Beyond the primary binary failure flag, the dataset notes five physical failure causes: Tool Wear Failure (TWF), Heat Dissipation Failure (HDF), Power Failure (PWF), Overstrain Failure (OSF), and Random Failure (RNF).</w:t>
      </w:r>
    </w:p>
    <w:p>
      <w:pPr>
        <w:spacing w:before="0" w:after="60" w:line="276" w:lineRule="auto"/>
        <w:jc w:val="both"/>
      </w:pPr>
      <w:r>
        <w:rPr>
          <w:rFonts w:ascii="Times New Roman" w:hAnsi="Times New Roman"/>
          <w:b/>
          <w:i w:val="0"/>
          <w:color w:val="1E3A8A"/>
          <w:sz w:val="21"/>
        </w:rPr>
        <w:t>Data Preprocessing and Leakage Prevention</w:t>
      </w:r>
    </w:p>
    <w:p>
      <w:pPr>
        <w:spacing w:before="0" w:after="80" w:line="276" w:lineRule="auto"/>
        <w:jc w:val="both"/>
      </w:pPr>
      <w:r>
        <w:rPr>
          <w:rFonts w:ascii="Times New Roman" w:hAnsi="Times New Roman"/>
          <w:b w:val="0"/>
          <w:i w:val="0"/>
          <w:color w:val="111827"/>
          <w:sz w:val="19"/>
        </w:rPr>
        <w:t>To ensure strict experimental validity, we took deliberate precautions against data leakage:</w:t>
      </w:r>
    </w:p>
    <w:p>
      <w:pPr>
        <w:spacing w:before="0" w:after="80" w:line="276" w:lineRule="auto"/>
        <w:jc w:val="both"/>
      </w:pPr>
      <w:r>
        <w:rPr>
          <w:rFonts w:ascii="Times New Roman" w:hAnsi="Times New Roman"/>
          <w:b w:val="0"/>
          <w:i w:val="0"/>
          <w:color w:val="111827"/>
          <w:sz w:val="19"/>
        </w:rPr>
        <w:t>* Stratified Splitting: We partitioned the 10,000 CNC records into an 80% training set (8,000 records) and a 20% test set (2,000 records) using stratified sampling to preserve the 3.39% failure ratio in both sets.</w:t>
      </w:r>
    </w:p>
    <w:p>
      <w:pPr>
        <w:spacing w:before="0" w:after="80" w:line="276" w:lineRule="auto"/>
        <w:jc w:val="both"/>
      </w:pPr>
      <w:r>
        <w:rPr>
          <w:rFonts w:ascii="Times New Roman" w:hAnsi="Times New Roman"/>
          <w:b w:val="0"/>
          <w:i w:val="0"/>
          <w:color w:val="111827"/>
          <w:sz w:val="19"/>
        </w:rPr>
        <w:t>* Fit-Transform Discipline: We fitted our StandardScaler ($\mu = 0, \sigma = 1$) exclusively on the 8,000 training samples. The test set was transformed using the training parameters alone, preventing any test set distribution statistics from leaking into model training.</w:t>
      </w:r>
    </w:p>
    <w:p>
      <w:pPr>
        <w:spacing w:before="0" w:after="80" w:line="276" w:lineRule="auto"/>
        <w:jc w:val="both"/>
      </w:pPr>
      <w:r>
        <w:rPr>
          <w:rFonts w:ascii="Times New Roman" w:hAnsi="Times New Roman"/>
          <w:b w:val="0"/>
          <w:i w:val="0"/>
          <w:color w:val="111827"/>
          <w:sz w:val="19"/>
        </w:rPr>
        <w:t>* Unit-Based Engine Partitioning: For the NASA C-MAPSS dataset, we split data strictly by engine unit identifier rather than randomly shuffling rows. This ensured that consecutive temporal steps from the same degrading engine never appeared in both training and testing sets.</w:t>
      </w:r>
    </w:p>
    <w:p>
      <w:pPr>
        <w:spacing w:before="0" w:after="80" w:line="276" w:lineRule="auto"/>
        <w:jc w:val="both"/>
      </w:pPr>
      <w:r>
        <w:rPr>
          <w:rFonts w:ascii="Times New Roman" w:hAnsi="Times New Roman"/>
          <w:b/>
          <w:i w:val="0"/>
          <w:color w:val="0F172A"/>
          <w:sz w:val="24"/>
        </w:rPr>
        <w:t>5. Methodology</w:t>
      </w:r>
    </w:p>
    <w:p>
      <w:pPr>
        <w:spacing w:before="0" w:after="80" w:line="276" w:lineRule="auto"/>
        <w:jc w:val="both"/>
      </w:pPr>
      <w:r>
        <w:rPr>
          <w:rFonts w:ascii="Times New Roman" w:hAnsi="Times New Roman"/>
          <w:b w:val="0"/>
          <w:i w:val="0"/>
          <w:color w:val="111827"/>
          <w:sz w:val="19"/>
        </w:rPr>
        <w:t>GearGuard operates as a modular, hybrid architecture combining sensor diagnostics, temporal prognostics, optical defect screening, and game-theoretic explainability. Figure 1 illustrates the end-to-end data flow.</w:t>
      </w:r>
    </w:p>
    <w:p>
      <w:pPr>
        <w:spacing w:before="0" w:after="80" w:line="276" w:lineRule="auto"/>
        <w:jc w:val="both"/>
      </w:pPr>
      <w:r>
        <w:rPr>
          <w:rFonts w:ascii="Times New Roman" w:hAnsi="Times New Roman"/>
          <w:b w:val="0"/>
          <w:i w:val="0"/>
          <w:color w:val="111827"/>
          <w:sz w:val="19"/>
        </w:rPr>
        <w:t>A2["Temporal Turbomachinery Sensors&lt;br/&gt;(8 High-Variance C-MAPSS Channels)"]</w:t>
      </w:r>
    </w:p>
    <w:p>
      <w:pPr>
        <w:spacing w:before="0" w:after="80" w:line="276" w:lineRule="auto"/>
        <w:jc w:val="both"/>
      </w:pPr>
      <w:r>
        <w:rPr>
          <w:rFonts w:ascii="Times New Roman" w:hAnsi="Times New Roman"/>
          <w:b w:val="0"/>
          <w:i w:val="0"/>
          <w:color w:val="111827"/>
          <w:sz w:val="19"/>
        </w:rPr>
        <w:t>A3["Factory Camera Frames&lt;br/&gt;(Conveyor &amp; Hydraulic Sub-Assemblies)"]</w:t>
      </w:r>
    </w:p>
    <w:p>
      <w:pPr>
        <w:spacing w:before="0" w:after="80" w:line="276" w:lineRule="auto"/>
        <w:jc w:val="both"/>
      </w:pPr>
      <w:r>
        <w:rPr>
          <w:rFonts w:ascii="Times New Roman" w:hAnsi="Times New Roman"/>
          <w:b w:val="0"/>
          <w:i w:val="0"/>
          <w:color w:val="111827"/>
          <w:sz w:val="19"/>
        </w:rPr>
        <w:t>B2["Sliding Temporal Window&lt;br/&gt;(FIFO Buffer: 20 Steps × 8 Sensors)"]</w:t>
      </w:r>
    </w:p>
    <w:p>
      <w:pPr>
        <w:spacing w:before="0" w:after="80" w:line="276" w:lineRule="auto"/>
        <w:jc w:val="both"/>
      </w:pPr>
      <w:r>
        <w:rPr>
          <w:rFonts w:ascii="Times New Roman" w:hAnsi="Times New Roman"/>
          <w:b w:val="0"/>
          <w:i w:val="0"/>
          <w:color w:val="111827"/>
          <w:sz w:val="19"/>
        </w:rPr>
        <w:t>B3["Image Normalization &amp; Central ROI Crop&lt;br/&gt;(224 × 224 × 3 RGB)"]</w:t>
      </w:r>
    </w:p>
    <w:p>
      <w:pPr>
        <w:spacing w:before="0" w:after="80" w:line="276" w:lineRule="auto"/>
        <w:jc w:val="both"/>
      </w:pPr>
      <w:r>
        <w:rPr>
          <w:rFonts w:ascii="Times New Roman" w:hAnsi="Times New Roman"/>
          <w:b w:val="0"/>
          <w:i w:val="0"/>
          <w:color w:val="111827"/>
          <w:sz w:val="19"/>
        </w:rPr>
        <w:t>C2["Module 2: Prognostic Regressor&lt;br/&gt;Stacked LSTM (64u + 32u + Dropout 0.20)"]</w:t>
      </w:r>
    </w:p>
    <w:p>
      <w:pPr>
        <w:spacing w:before="0" w:after="80" w:line="276" w:lineRule="auto"/>
        <w:jc w:val="both"/>
      </w:pPr>
      <w:r>
        <w:rPr>
          <w:rFonts w:ascii="Times New Roman" w:hAnsi="Times New Roman"/>
          <w:b w:val="0"/>
          <w:i w:val="0"/>
          <w:color w:val="111827"/>
          <w:sz w:val="19"/>
        </w:rPr>
        <w:t>C3["Module 3: Edge Computer Vision&lt;br/&gt;MobileNet-V3 + Sobel Edge + Dark Ratio"]</w:t>
      </w:r>
    </w:p>
    <w:p>
      <w:pPr>
        <w:spacing w:before="0" w:after="80" w:line="276" w:lineRule="auto"/>
        <w:jc w:val="both"/>
      </w:pPr>
      <w:r>
        <w:rPr>
          <w:rFonts w:ascii="Times New Roman" w:hAnsi="Times New Roman"/>
          <w:b w:val="0"/>
          <w:i w:val="0"/>
          <w:color w:val="111827"/>
          <w:sz w:val="19"/>
        </w:rPr>
        <w:t>D2["Composite Fleet Health Index (0–100%)&lt;br/&gt;Multi-Risk Fusion Formula"]</w:t>
      </w:r>
    </w:p>
    <w:p>
      <w:pPr>
        <w:spacing w:before="0" w:after="80" w:line="276" w:lineRule="auto"/>
        <w:jc w:val="both"/>
      </w:pPr>
      <w:r>
        <w:rPr>
          <w:rFonts w:ascii="Times New Roman" w:hAnsi="Times New Roman"/>
          <w:b w:val="0"/>
          <w:i w:val="0"/>
          <w:color w:val="111827"/>
          <w:sz w:val="19"/>
        </w:rPr>
        <w:t>D3["Interactive Operations Cockpit&lt;br/&gt;Live 3.5s Telemetry &amp; Automated Work Orders"]</w:t>
      </w:r>
    </w:p>
    <w:p>
      <w:pPr>
        <w:spacing w:before="0" w:after="60" w:line="276" w:lineRule="auto"/>
        <w:jc w:val="both"/>
      </w:pPr>
      <w:r>
        <w:rPr>
          <w:rFonts w:ascii="Times New Roman" w:hAnsi="Times New Roman"/>
          <w:b/>
          <w:i w:val="0"/>
          <w:color w:val="1E3A8A"/>
          <w:sz w:val="21"/>
        </w:rPr>
        <w:t>5.1 Module 1: Diagnostic Failure Classifier (XGBoost)</w:t>
      </w:r>
    </w:p>
    <w:p>
      <w:pPr>
        <w:spacing w:before="0" w:after="80" w:line="276" w:lineRule="auto"/>
        <w:jc w:val="both"/>
      </w:pPr>
      <w:r>
        <w:rPr>
          <w:rFonts w:ascii="Times New Roman" w:hAnsi="Times New Roman"/>
          <w:b w:val="0"/>
          <w:i w:val="0"/>
          <w:color w:val="111827"/>
          <w:sz w:val="19"/>
        </w:rPr>
        <w:t>To detect imminent mechanical breakdowns from multi-sensor telemetry, we selected Extreme Gradient Boosting (XGBoost). XGBoost builds an ensemble of $K$ regression trees sequentially. At each boosting iteration $t$, the algorithm minimizes a regularized objective function:</w:t>
      </w:r>
    </w:p>
    <w:p>
      <w:pPr>
        <w:spacing w:before="0" w:after="80" w:line="276" w:lineRule="auto"/>
        <w:jc w:val="both"/>
      </w:pPr>
      <w:r>
        <w:rPr>
          <w:rFonts w:ascii="Times New Roman" w:hAnsi="Times New Roman"/>
          <w:b w:val="0"/>
          <w:i w:val="0"/>
          <w:color w:val="111827"/>
          <w:sz w:val="19"/>
        </w:rPr>
        <w:t>$$\mathcal{L}^{(t)} = \sum_{i=1}^n l\left(y_i, \hat{y}_i^{(t-1)} + f_t(\mathbf{x}_i)\right) + \Omega(f_t)$$</w:t>
      </w:r>
    </w:p>
    <w:p>
      <w:pPr>
        <w:spacing w:before="0" w:after="80" w:line="276" w:lineRule="auto"/>
        <w:jc w:val="both"/>
      </w:pPr>
      <w:r>
        <w:rPr>
          <w:rFonts w:ascii="Times New Roman" w:hAnsi="Times New Roman"/>
          <w:b w:val="0"/>
          <w:i w:val="0"/>
          <w:color w:val="111827"/>
          <w:sz w:val="19"/>
        </w:rPr>
        <w:t>where $\Omega(f_t) = \gamma T + \frac{1}{2}\lambda \sum_{j=1}^T w_j^2$ penalizes tree complexity by controlling leaf count $T$ and leaf weights $w_j$. Taking a second-order Taylor expansion around the previous prediction $\hat{y}_i^{(t-1)}$:</w:t>
      </w:r>
    </w:p>
    <w:p>
      <w:pPr>
        <w:spacing w:before="0" w:after="80" w:line="276" w:lineRule="auto"/>
        <w:jc w:val="both"/>
      </w:pPr>
      <w:r>
        <w:rPr>
          <w:rFonts w:ascii="Times New Roman" w:hAnsi="Times New Roman"/>
          <w:b w:val="0"/>
          <w:i w:val="0"/>
          <w:color w:val="111827"/>
          <w:sz w:val="19"/>
        </w:rPr>
        <w:t>$$\mathcal{L}^{(t)} \approx \sum_{i=1}^n \left[ l\left(y_i, \hat{y}_i^{(t-1)}\right) + g_i f_t(\mathbf{x}_i) + \frac{1}{2} h_i f_t^2(\mathbf{x}_i) \right] + \Omega(f_t)$$</w:t>
      </w:r>
    </w:p>
    <w:p>
      <w:pPr>
        <w:spacing w:before="0" w:after="80" w:line="276" w:lineRule="auto"/>
        <w:jc w:val="both"/>
      </w:pPr>
      <w:r>
        <w:rPr>
          <w:rFonts w:ascii="Times New Roman" w:hAnsi="Times New Roman"/>
          <w:b w:val="0"/>
          <w:i w:val="0"/>
          <w:color w:val="111827"/>
          <w:sz w:val="19"/>
        </w:rPr>
        <w:t>where $g_i = \partial_{\hat{y}^{(t-1)}} l(y_i, \hat{y}^{(t-1)})$ and $h_i = \partial^2_{\hat{y}^{(t-1)}} l(y_i, \hat{y}^{(t-1)})$ represent the first-order (gradient) and second-order (Hessian) derivatives of the loss function.</w:t>
      </w:r>
    </w:p>
    <w:p>
      <w:pPr>
        <w:spacing w:before="0" w:after="80" w:line="276" w:lineRule="auto"/>
        <w:jc w:val="both"/>
      </w:pPr>
      <w:r>
        <w:rPr>
          <w:rFonts w:ascii="Times New Roman" w:hAnsi="Times New Roman"/>
          <w:b w:val="0"/>
          <w:i w:val="0"/>
          <w:color w:val="111827"/>
          <w:sz w:val="19"/>
        </w:rPr>
        <w:t>Handling Severe Class Imbalance:</w:t>
      </w:r>
    </w:p>
    <w:p>
      <w:pPr>
        <w:spacing w:before="0" w:after="80" w:line="276" w:lineRule="auto"/>
        <w:jc w:val="both"/>
      </w:pPr>
      <w:r>
        <w:rPr>
          <w:rFonts w:ascii="Times New Roman" w:hAnsi="Times New Roman"/>
          <w:b w:val="0"/>
          <w:i w:val="0"/>
          <w:color w:val="111827"/>
          <w:sz w:val="19"/>
        </w:rPr>
        <w:t>Because 96.61% of our training samples are healthy runs, a standard objective would barely pay attention to the 3.39% failure cases. We configured XGBoost's cost-sensitive parameter:</w:t>
      </w:r>
    </w:p>
    <w:p>
      <w:pPr>
        <w:spacing w:before="0" w:after="80" w:line="276" w:lineRule="auto"/>
        <w:jc w:val="both"/>
      </w:pPr>
      <w:r>
        <w:rPr>
          <w:rFonts w:ascii="Times New Roman" w:hAnsi="Times New Roman"/>
          <w:b w:val="0"/>
          <w:i w:val="0"/>
          <w:color w:val="111827"/>
          <w:sz w:val="19"/>
        </w:rPr>
        <w:t>$$\text{scale\_pos\_weight} = \frac{N_{\text{negative}}}{N_{\text{positive}}} = \frac{9661}{339} \approx 28.5 \quad (\text{tuned empirically to } 27.5)$$</w:t>
      </w:r>
    </w:p>
    <w:p>
      <w:pPr>
        <w:spacing w:before="0" w:after="80" w:line="276" w:lineRule="auto"/>
        <w:jc w:val="both"/>
      </w:pPr>
      <w:r>
        <w:rPr>
          <w:rFonts w:ascii="Times New Roman" w:hAnsi="Times New Roman"/>
          <w:b w:val="0"/>
          <w:i w:val="0"/>
          <w:color w:val="111827"/>
          <w:sz w:val="19"/>
        </w:rPr>
        <w:t>This scales both the gradient $g_i$ and Hessian $h_i$ by 27.5 whenever $y_i = 1$. The optimization process is forced to heavily penalize False Negatives (missed breakdowns), steering split choices toward isolating failure boundaries.</w:t>
      </w:r>
    </w:p>
    <w:p>
      <w:pPr>
        <w:spacing w:before="0" w:after="60" w:line="276" w:lineRule="auto"/>
        <w:jc w:val="both"/>
      </w:pPr>
      <w:r>
        <w:rPr>
          <w:rFonts w:ascii="Times New Roman" w:hAnsi="Times New Roman"/>
          <w:b/>
          <w:i w:val="0"/>
          <w:color w:val="1E3A8A"/>
          <w:sz w:val="21"/>
        </w:rPr>
        <w:t>5.2 Module 2: Prognostic Remaining Useful Life Regressor (Stacked LSTM)</w:t>
      </w:r>
    </w:p>
    <w:p>
      <w:pPr>
        <w:spacing w:before="0" w:after="80" w:line="276" w:lineRule="auto"/>
        <w:jc w:val="both"/>
      </w:pPr>
      <w:r>
        <w:rPr>
          <w:rFonts w:ascii="Times New Roman" w:hAnsi="Times New Roman"/>
          <w:b w:val="0"/>
          <w:i w:val="0"/>
          <w:color w:val="111827"/>
          <w:sz w:val="19"/>
        </w:rPr>
        <w:t>Estimating Remaining Useful Life requires looking beyond instantaneous sensor values to understand how wear is trending across recent operating cycles. We built a deep Stacked Long Short-Term Memory (LSTM) network that processes a 20-step sliding temporal window $\mathbf{X} \in \mathbb{R}^{20 \times 8}$.</w:t>
      </w:r>
    </w:p>
    <w:p>
      <w:pPr>
        <w:spacing w:before="0" w:after="80" w:line="276" w:lineRule="auto"/>
        <w:jc w:val="both"/>
      </w:pPr>
      <w:r>
        <w:rPr>
          <w:rFonts w:ascii="Times New Roman" w:hAnsi="Times New Roman"/>
          <w:b w:val="0"/>
          <w:i w:val="0"/>
          <w:color w:val="111827"/>
          <w:sz w:val="19"/>
        </w:rPr>
        <w:t>At each time step $k$, an LSTM cell updates its gating mechanisms and cell memory via:</w:t>
      </w:r>
    </w:p>
    <w:p>
      <w:pPr>
        <w:spacing w:before="0" w:after="80" w:line="276" w:lineRule="auto"/>
        <w:jc w:val="both"/>
      </w:pPr>
      <w:r>
        <w:rPr>
          <w:rFonts w:ascii="Times New Roman" w:hAnsi="Times New Roman"/>
          <w:b w:val="0"/>
          <w:i w:val="0"/>
          <w:color w:val="111827"/>
          <w:sz w:val="19"/>
        </w:rPr>
        <w:t>$$\mathbf{f}_k = \sigma(\mathbf{W}_f \mathbf{x}_k + \mathbf{U}_f \mathbf{h}_{k-1} + \mathbf{b}_f) \quad \text{(Forget Gate)}$$</w:t>
      </w:r>
    </w:p>
    <w:p>
      <w:pPr>
        <w:spacing w:before="0" w:after="80" w:line="276" w:lineRule="auto"/>
        <w:jc w:val="both"/>
      </w:pPr>
      <w:r>
        <w:rPr>
          <w:rFonts w:ascii="Times New Roman" w:hAnsi="Times New Roman"/>
          <w:b w:val="0"/>
          <w:i w:val="0"/>
          <w:color w:val="111827"/>
          <w:sz w:val="19"/>
        </w:rPr>
        <w:t>$$\mathbf{i}_k = \sigma(\mathbf{W}_i \mathbf{x}_k + \mathbf{U}_i \mathbf{h}_{k-1} + \mathbf{b}_i) \quad \text{(Input Gate)}$$</w:t>
      </w:r>
    </w:p>
    <w:p>
      <w:pPr>
        <w:spacing w:before="0" w:after="80" w:line="276" w:lineRule="auto"/>
        <w:jc w:val="both"/>
      </w:pPr>
      <w:r>
        <w:rPr>
          <w:rFonts w:ascii="Times New Roman" w:hAnsi="Times New Roman"/>
          <w:b w:val="0"/>
          <w:i w:val="0"/>
          <w:color w:val="111827"/>
          <w:sz w:val="19"/>
        </w:rPr>
        <w:t>$$\tilde{\mathbf{C}}_k = \tanh(\mathbf{W}_c \mathbf{x}_k + \mathbf{U}_c \mathbf{h}_{k-1} + \mathbf{b}_c) \quad \text{(Candidate Cell State)}$$</w:t>
      </w:r>
    </w:p>
    <w:p>
      <w:pPr>
        <w:spacing w:before="0" w:after="80" w:line="276" w:lineRule="auto"/>
        <w:jc w:val="both"/>
      </w:pPr>
      <w:r>
        <w:rPr>
          <w:rFonts w:ascii="Times New Roman" w:hAnsi="Times New Roman"/>
          <w:b w:val="0"/>
          <w:i w:val="0"/>
          <w:color w:val="111827"/>
          <w:sz w:val="19"/>
        </w:rPr>
        <w:t>$$\mathbf{C}_k = \mathbf{f}_k \odot \mathbf{C}_{k-1} + \mathbf{i}_k \odot \tilde{\mathbf{C}}_k \quad \text{(Updated Cell State)}$$</w:t>
      </w:r>
    </w:p>
    <w:p>
      <w:pPr>
        <w:spacing w:before="0" w:after="80" w:line="276" w:lineRule="auto"/>
        <w:jc w:val="both"/>
      </w:pPr>
      <w:r>
        <w:rPr>
          <w:rFonts w:ascii="Times New Roman" w:hAnsi="Times New Roman"/>
          <w:b w:val="0"/>
          <w:i w:val="0"/>
          <w:color w:val="111827"/>
          <w:sz w:val="19"/>
        </w:rPr>
        <w:t>$$\mathbf{o}_k = \sigma(\mathbf{W}_o \mathbf{x}_k + \mathbf{U}_o \mathbf{h}_{k-1} + \mathbf{b}_o) \quad \text{(Output Gate)}$$</w:t>
      </w:r>
    </w:p>
    <w:p>
      <w:pPr>
        <w:spacing w:before="0" w:after="80" w:line="276" w:lineRule="auto"/>
        <w:jc w:val="both"/>
      </w:pPr>
      <w:r>
        <w:rPr>
          <w:rFonts w:ascii="Times New Roman" w:hAnsi="Times New Roman"/>
          <w:b w:val="0"/>
          <w:i w:val="0"/>
          <w:color w:val="111827"/>
          <w:sz w:val="19"/>
        </w:rPr>
        <w:t>$$\mathbf{h}_k = \mathbf{o}_k \odot \tanh(\mathbf{C}_k) \quad \text{(Hidden State Vector)}$$</w:t>
      </w:r>
    </w:p>
    <w:p>
      <w:pPr>
        <w:spacing w:before="0" w:after="80" w:line="276" w:lineRule="auto"/>
        <w:jc w:val="both"/>
      </w:pPr>
      <w:r>
        <w:rPr>
          <w:rFonts w:ascii="Times New Roman" w:hAnsi="Times New Roman"/>
          <w:b w:val="0"/>
          <w:i w:val="0"/>
          <w:color w:val="111827"/>
          <w:sz w:val="19"/>
        </w:rPr>
        <w:t>Our network stacks two LSTM layers: Layer 1 contains 64 memory units with sequence return enabled, followed by Layer 2 with 32 units, Batch Normalization, and a 20% Dropout rate to prevent overfitting. A fully connected linear head outputs the continuous predicted RUL in machine operating cycles:</w:t>
      </w:r>
    </w:p>
    <w:p>
      <w:pPr>
        <w:spacing w:before="0" w:after="80" w:line="276" w:lineRule="auto"/>
        <w:jc w:val="both"/>
      </w:pPr>
      <w:r>
        <w:rPr>
          <w:rFonts w:ascii="Times New Roman" w:hAnsi="Times New Roman"/>
          <w:b w:val="0"/>
          <w:i w:val="0"/>
          <w:color w:val="111827"/>
          <w:sz w:val="19"/>
        </w:rPr>
        <w:t>$$\widehat{\text{RUL}} = \mathbf{W}_r \mathbf{h}_K^{(2)} + b_r$$</w:t>
      </w:r>
    </w:p>
    <w:p>
      <w:pPr>
        <w:spacing w:before="0" w:after="60" w:line="276" w:lineRule="auto"/>
        <w:jc w:val="both"/>
      </w:pPr>
      <w:r>
        <w:rPr>
          <w:rFonts w:ascii="Times New Roman" w:hAnsi="Times New Roman"/>
          <w:b/>
          <w:i w:val="0"/>
          <w:color w:val="1E3A8A"/>
          <w:sz w:val="21"/>
        </w:rPr>
        <w:t>5.3 Module 3: Multimodal Edge Computer Vision Inspection</w:t>
      </w:r>
    </w:p>
    <w:p>
      <w:pPr>
        <w:spacing w:before="0" w:after="80" w:line="276" w:lineRule="auto"/>
        <w:jc w:val="both"/>
      </w:pPr>
      <w:r>
        <w:rPr>
          <w:rFonts w:ascii="Times New Roman" w:hAnsi="Times New Roman"/>
          <w:b w:val="0"/>
          <w:i w:val="0"/>
          <w:color w:val="111827"/>
          <w:sz w:val="19"/>
        </w:rPr>
        <w:t>To catch physical hardware damage that sensors cannot measure, we integrated a lightweight MobileNet-V3 Small convolutional neural network. MobileNet-V3 replaces heavy standard convolutions with depthwise separable convolutions:</w:t>
      </w:r>
    </w:p>
    <w:p>
      <w:pPr>
        <w:spacing w:before="0" w:after="80" w:line="276" w:lineRule="auto"/>
        <w:jc w:val="both"/>
      </w:pPr>
      <w:r>
        <w:rPr>
          <w:rFonts w:ascii="Times New Roman" w:hAnsi="Times New Roman"/>
          <w:b w:val="0"/>
          <w:i w:val="0"/>
          <w:color w:val="111827"/>
          <w:sz w:val="19"/>
        </w:rPr>
        <w:t>$$\text{Depthwise-Separable-Conv}(\mathbf{x}) = \text{Pointwise}_{1 \times 1}\Big(\text{Depthwise}_{3 \times 3}(\mathbf{x})\Big)$$</w:t>
      </w:r>
    </w:p>
    <w:p>
      <w:pPr>
        <w:spacing w:before="0" w:after="80" w:line="276" w:lineRule="auto"/>
        <w:jc w:val="both"/>
      </w:pPr>
      <w:r>
        <w:rPr>
          <w:rFonts w:ascii="Times New Roman" w:hAnsi="Times New Roman"/>
          <w:b w:val="0"/>
          <w:i w:val="0"/>
          <w:color w:val="111827"/>
          <w:sz w:val="19"/>
        </w:rPr>
        <w:t>This cuts parameter counts and floating-point operations by over 80%. We also incorporated two physical domain checks:</w:t>
      </w:r>
    </w:p>
    <w:p>
      <w:pPr>
        <w:spacing w:before="0" w:after="80" w:line="276" w:lineRule="auto"/>
        <w:jc w:val="both"/>
      </w:pPr>
      <w:r>
        <w:rPr>
          <w:rFonts w:ascii="Times New Roman" w:hAnsi="Times New Roman"/>
          <w:b w:val="0"/>
          <w:i w:val="0"/>
          <w:color w:val="111827"/>
          <w:sz w:val="19"/>
        </w:rPr>
        <w:t>1. Sobel Edge Fracture Density: Detects frayed, ripped rubber fibers on conveyor belts by calculating gradient spatial density:</w:t>
      </w:r>
    </w:p>
    <w:p>
      <w:pPr>
        <w:spacing w:before="0" w:after="80" w:line="276" w:lineRule="auto"/>
        <w:jc w:val="both"/>
      </w:pPr>
      <w:r>
        <w:rPr>
          <w:rFonts w:ascii="Times New Roman" w:hAnsi="Times New Roman"/>
          <w:b w:val="0"/>
          <w:i w:val="0"/>
          <w:color w:val="111827"/>
          <w:sz w:val="19"/>
        </w:rPr>
        <w:t>$$\rho_{\text{edge}} = \frac{1}{H \cdot W} \sum_{u=1}^H \sum_{v=1}^W \mathbb{I}\left(\sqrt{G_x(u,v)^2 + G_y(u,v)^2} &gt; \tau_{\text{edge}}\right)$$</w:t>
      </w:r>
    </w:p>
    <w:p>
      <w:pPr>
        <w:spacing w:before="0" w:after="80" w:line="276" w:lineRule="auto"/>
        <w:jc w:val="both"/>
      </w:pPr>
      <w:r>
        <w:rPr>
          <w:rFonts w:ascii="Times New Roman" w:hAnsi="Times New Roman"/>
          <w:b w:val="0"/>
          <w:i w:val="0"/>
          <w:color w:val="111827"/>
          <w:sz w:val="19"/>
        </w:rPr>
        <w:t>2. Hydraulic Dark-Ratio Pooling: Identifies pooled hydraulic oil by tracking dark, low-reflectance pixel patches in normalized HSV space.</w:t>
      </w:r>
    </w:p>
    <w:p>
      <w:pPr>
        <w:spacing w:before="0" w:after="60" w:line="276" w:lineRule="auto"/>
        <w:jc w:val="both"/>
      </w:pPr>
      <w:r>
        <w:rPr>
          <w:rFonts w:ascii="Times New Roman" w:hAnsi="Times New Roman"/>
          <w:b/>
          <w:i w:val="0"/>
          <w:color w:val="1E3A8A"/>
          <w:sz w:val="21"/>
        </w:rPr>
        <w:t>5.4 Proposed Innovation: Explainable AI &amp; Prescriptive Cockpit</w:t>
      </w:r>
    </w:p>
    <w:p>
      <w:pPr>
        <w:spacing w:before="0" w:after="80" w:line="276" w:lineRule="auto"/>
        <w:jc w:val="both"/>
      </w:pPr>
      <w:r>
        <w:rPr>
          <w:rFonts w:ascii="Times New Roman" w:hAnsi="Times New Roman"/>
          <w:b w:val="0"/>
          <w:i w:val="0"/>
          <w:color w:val="111827"/>
          <w:sz w:val="19"/>
        </w:rPr>
        <w:t>To bridge the gap between machine predictions and operator trust, we integrated SHAP TreeExplainer. Based on cooperative game theory, Shapley values distribute the model's output fairly among all input features:</w:t>
      </w:r>
    </w:p>
    <w:p>
      <w:pPr>
        <w:spacing w:before="0" w:after="80" w:line="276" w:lineRule="auto"/>
        <w:jc w:val="both"/>
      </w:pPr>
      <w:r>
        <w:rPr>
          <w:rFonts w:ascii="Times New Roman" w:hAnsi="Times New Roman"/>
          <w:b w:val="0"/>
          <w:i w:val="0"/>
          <w:color w:val="111827"/>
          <w:sz w:val="19"/>
        </w:rPr>
        <w:t>$$\phi_i(f, \mathbf{x}) = \sum_{S \subseteq F \setminus \{i\}} \frac{|S|! (|F| - |S| - 1)!}{|F|!} \left[ f(S \cup \{i\}) - f(S) \right]$$</w:t>
      </w:r>
    </w:p>
    <w:p>
      <w:pPr>
        <w:spacing w:before="0" w:after="80" w:line="276" w:lineRule="auto"/>
        <w:jc w:val="both"/>
      </w:pPr>
      <w:r>
        <w:rPr>
          <w:rFonts w:ascii="Times New Roman" w:hAnsi="Times New Roman"/>
          <w:b w:val="0"/>
          <w:i w:val="0"/>
          <w:color w:val="111827"/>
          <w:sz w:val="19"/>
        </w:rPr>
        <w:t>When GearGuard flags an alert, the dashboard explains the prediction additively:</w:t>
      </w:r>
    </w:p>
    <w:p>
      <w:pPr>
        <w:spacing w:before="0" w:after="80" w:line="276" w:lineRule="auto"/>
        <w:jc w:val="both"/>
      </w:pPr>
      <w:r>
        <w:rPr>
          <w:rFonts w:ascii="Times New Roman" w:hAnsi="Times New Roman"/>
          <w:b w:val="0"/>
          <w:i w:val="0"/>
          <w:color w:val="111827"/>
          <w:sz w:val="19"/>
        </w:rPr>
        <w:t>$$\text{Risk Output} = \text{Baseline Risk (3.4\%)} + \phi_{\text{ToolWear}} + \phi_{\text{Torque}} + \phi_{\text{Temp}} + \dots$$</w:t>
      </w:r>
    </w:p>
    <w:p>
      <w:pPr>
        <w:spacing w:before="0" w:after="80" w:line="276" w:lineRule="auto"/>
        <w:jc w:val="both"/>
      </w:pPr>
      <w:r>
        <w:rPr>
          <w:rFonts w:ascii="Times New Roman" w:hAnsi="Times New Roman"/>
          <w:b w:val="0"/>
          <w:i w:val="0"/>
          <w:color w:val="111827"/>
          <w:sz w:val="19"/>
        </w:rPr>
        <w:t>We then combine these insights into a single Fleet Health Index ($H \in [0, 100\%]$):</w:t>
      </w:r>
    </w:p>
    <w:p>
      <w:pPr>
        <w:spacing w:before="0" w:after="80" w:line="276" w:lineRule="auto"/>
        <w:jc w:val="both"/>
      </w:pPr>
      <w:r>
        <w:rPr>
          <w:rFonts w:ascii="Times New Roman" w:hAnsi="Times New Roman"/>
          <w:b w:val="0"/>
          <w:i w:val="0"/>
          <w:color w:val="111827"/>
          <w:sz w:val="19"/>
        </w:rPr>
        <w:t>$$H_m = 100 - \left( 50 \cdot P_{\text{XGBoost}}(y=1) + 30 \cdot \max\left(0, 1 - \frac{\widehat{\text{RUL}}}{100}\right) + 20 \cdot P_{\text{Vision}}(\text{Defect}) \right)$$</w:t>
      </w:r>
    </w:p>
    <w:p>
      <w:pPr>
        <w:spacing w:before="0" w:after="80" w:line="276" w:lineRule="auto"/>
        <w:jc w:val="both"/>
      </w:pPr>
      <w:r>
        <w:rPr>
          <w:rFonts w:ascii="Times New Roman" w:hAnsi="Times New Roman"/>
          <w:b w:val="0"/>
          <w:i w:val="0"/>
          <w:color w:val="111827"/>
          <w:sz w:val="19"/>
        </w:rPr>
        <w:t>If $H_m$ falls below 60%, the cockpit triggers an amber maintenance inspection. If it drops below 40%, the system flags a red emergency hazard and automatically generates a digital work order.</w:t>
      </w:r>
    </w:p>
    <w:p>
      <w:pPr>
        <w:spacing w:before="0" w:after="80" w:line="276" w:lineRule="auto"/>
        <w:jc w:val="both"/>
      </w:pPr>
      <w:r>
        <w:rPr>
          <w:rFonts w:ascii="Times New Roman" w:hAnsi="Times New Roman"/>
          <w:b/>
          <w:i w:val="0"/>
          <w:color w:val="0F172A"/>
          <w:sz w:val="24"/>
        </w:rPr>
        <w:t>6. Experimental Setup</w:t>
      </w:r>
    </w:p>
    <w:p>
      <w:pPr>
        <w:spacing w:before="0" w:after="80" w:line="276" w:lineRule="auto"/>
        <w:jc w:val="both"/>
      </w:pPr>
      <w:r>
        <w:rPr>
          <w:rFonts w:ascii="Times New Roman" w:hAnsi="Times New Roman"/>
          <w:b w:val="0"/>
          <w:i w:val="0"/>
          <w:color w:val="111827"/>
          <w:sz w:val="19"/>
        </w:rPr>
        <w:t>To ensure strict scientific reproducibility, all models were evaluated under identical experimental conditions and consistent train/test partitions. Table 3 lists the complete hardware specifications, software dependencies, and model hyperparameters.</w:t>
      </w:r>
    </w:p>
    <w:p>
      <w:pPr>
        <w:spacing w:before="0" w:after="80" w:line="276" w:lineRule="auto"/>
        <w:jc w:val="both"/>
      </w:pPr>
      <w:r>
        <w:rPr>
          <w:rFonts w:ascii="Times New Roman" w:hAnsi="Times New Roman"/>
          <w:b w:val="0"/>
          <w:i w:val="0"/>
          <w:color w:val="111827"/>
          <w:sz w:val="19"/>
        </w:rPr>
        <w:t>Table 3: Hardware, Software Environment, and Hyperparameter Specifications</w:t>
      </w:r>
    </w:p>
    <w:tbl>
      <w:tblPr>
        <w:tblW w:type="auto" w:w="0"/>
        <w:jc w:val="center"/>
        <w:tblLook w:firstColumn="1" w:firstRow="1" w:lastColumn="0" w:lastRow="0" w:noHBand="0" w:noVBand="1" w:val="04A0"/>
      </w:tblPr>
      <w:tblGrid>
        <w:gridCol w:w="5112"/>
        <w:gridCol w:w="5112"/>
      </w:tblGrid>
      <w:tr>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Component</w:t>
            </w:r>
          </w:p>
        </w:tc>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Technical Specification / Configuration</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Hardware Platform</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Intel Core i7-11800H @ 2.30GHz (8 Cores, 16 Threads), 16 GB DDR4 RAM, NVIDIA GeForce RTX 3050 Laptop GPU (4 GB VRAM)</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Operating System</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Windows 11 Enterprise (64-bit), Build 26100</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Programming Language</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Python 3.13.2 (64-bit)</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Core Libraries</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PyTorch 2.4.1, XGBoost 2.1.1, Scikit-Learn 1.5.2, SHAP 0.46.0, NumPy 2.1.1, Pandas 2.2.3</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Frontend Cockpit</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React 18, Vite 5, Tailwind CSS, Recharts 2.12, Lucide Icons</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XGBoost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n_estimators = 150, max_depth = 5, learning_rate = 0.05, scale_pos_weight = 27.5, subsample = 0.85, colsample_bytree = 0.85</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Stacked LSTM Configuration</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Layer 1: 64 units, Layer 2: 32 units, Dropout = 0.20, Adam optimizer ($\text{lr} = 0.001$), Batch Size = 32, Epochs = 50, Loss = MSE</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MobileNet-V3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Pretrained weights (ImageNet-1k), Fine-tuned head: Linear(576, 3), Adam ($\text{lr} = 0.0003$), Cross-Entropy Loss</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7. Evaluation Metrics</w:t>
      </w:r>
    </w:p>
    <w:p>
      <w:pPr>
        <w:spacing w:before="0" w:after="80" w:line="276" w:lineRule="auto"/>
        <w:jc w:val="both"/>
      </w:pPr>
      <w:r>
        <w:rPr>
          <w:rFonts w:ascii="Times New Roman" w:hAnsi="Times New Roman"/>
          <w:b w:val="0"/>
          <w:i w:val="0"/>
          <w:color w:val="111827"/>
          <w:sz w:val="19"/>
        </w:rPr>
        <w:t>Because industrial sensor logs are heavily skewed toward normal operation, relying on overall Accuracy is dangerously misleading. We evaluated our models using five complementary classification metrics and three regression metrics:</w:t>
      </w:r>
    </w:p>
    <w:p>
      <w:pPr>
        <w:spacing w:before="0" w:after="80" w:line="276" w:lineRule="auto"/>
        <w:jc w:val="both"/>
      </w:pPr>
      <w:r>
        <w:rPr>
          <w:rFonts w:ascii="Times New Roman" w:hAnsi="Times New Roman"/>
          <w:b w:val="0"/>
          <w:i w:val="0"/>
          <w:color w:val="111827"/>
          <w:sz w:val="19"/>
        </w:rPr>
        <w:t>1. Recall / Sensitivity (Primary Industrial Metric): Measures the percentage of actual breakdowns caught by the model:</w:t>
      </w:r>
    </w:p>
    <w:p>
      <w:pPr>
        <w:spacing w:before="0" w:after="80" w:line="276" w:lineRule="auto"/>
        <w:jc w:val="both"/>
      </w:pPr>
      <w:r>
        <w:rPr>
          <w:rFonts w:ascii="Times New Roman" w:hAnsi="Times New Roman"/>
          <w:b w:val="0"/>
          <w:i w:val="0"/>
          <w:color w:val="111827"/>
          <w:sz w:val="19"/>
        </w:rPr>
        <w:t>$$\text{Recall} = \frac{\text{TP}}{\text{TP} + \text{FN}}$$</w:t>
      </w:r>
    </w:p>
    <w:p>
      <w:pPr>
        <w:spacing w:before="0" w:after="80" w:line="276" w:lineRule="auto"/>
        <w:jc w:val="both"/>
      </w:pPr>
      <w:r>
        <w:rPr>
          <w:rFonts w:ascii="Times New Roman" w:hAnsi="Times New Roman"/>
          <w:b w:val="0"/>
          <w:i w:val="0"/>
          <w:color w:val="111827"/>
          <w:sz w:val="19"/>
        </w:rPr>
        <w:t>2. Specificity: Measures the percentage of normal machine runs correctly identified:</w:t>
      </w:r>
    </w:p>
    <w:p>
      <w:pPr>
        <w:spacing w:before="0" w:after="80" w:line="276" w:lineRule="auto"/>
        <w:jc w:val="both"/>
      </w:pPr>
      <w:r>
        <w:rPr>
          <w:rFonts w:ascii="Times New Roman" w:hAnsi="Times New Roman"/>
          <w:b w:val="0"/>
          <w:i w:val="0"/>
          <w:color w:val="111827"/>
          <w:sz w:val="19"/>
        </w:rPr>
        <w:t>$$\text{Specificity} = \frac{\text{TN}}{\text{TN} + \text{FP}}$$</w:t>
      </w:r>
    </w:p>
    <w:p>
      <w:pPr>
        <w:spacing w:before="0" w:after="80" w:line="276" w:lineRule="auto"/>
        <w:jc w:val="both"/>
      </w:pPr>
      <w:r>
        <w:rPr>
          <w:rFonts w:ascii="Times New Roman" w:hAnsi="Times New Roman"/>
          <w:b w:val="0"/>
          <w:i w:val="0"/>
          <w:color w:val="111827"/>
          <w:sz w:val="19"/>
        </w:rPr>
        <w:t>3. Precision: Measures how many flagged alerts were real failures:</w:t>
      </w:r>
    </w:p>
    <w:p>
      <w:pPr>
        <w:spacing w:before="0" w:after="80" w:line="276" w:lineRule="auto"/>
        <w:jc w:val="both"/>
      </w:pPr>
      <w:r>
        <w:rPr>
          <w:rFonts w:ascii="Times New Roman" w:hAnsi="Times New Roman"/>
          <w:b w:val="0"/>
          <w:i w:val="0"/>
          <w:color w:val="111827"/>
          <w:sz w:val="19"/>
        </w:rPr>
        <w:t>$$\text{Precision} = \frac{\text{TP}}{\text{TP} + \text{FP}}$$</w:t>
      </w:r>
    </w:p>
    <w:p>
      <w:pPr>
        <w:spacing w:before="0" w:after="80" w:line="276" w:lineRule="auto"/>
        <w:jc w:val="both"/>
      </w:pPr>
      <w:r>
        <w:rPr>
          <w:rFonts w:ascii="Times New Roman" w:hAnsi="Times New Roman"/>
          <w:b w:val="0"/>
          <w:i w:val="0"/>
          <w:color w:val="111827"/>
          <w:sz w:val="19"/>
        </w:rPr>
        <w:t>4. F1-Score: The harmonic mean balancing Precision and Recall:</w:t>
      </w:r>
    </w:p>
    <w:p>
      <w:pPr>
        <w:spacing w:before="0" w:after="80" w:line="276" w:lineRule="auto"/>
        <w:jc w:val="both"/>
      </w:pPr>
      <w:r>
        <w:rPr>
          <w:rFonts w:ascii="Times New Roman" w:hAnsi="Times New Roman"/>
          <w:b w:val="0"/>
          <w:i w:val="0"/>
          <w:color w:val="111827"/>
          <w:sz w:val="19"/>
        </w:rPr>
        <w:t>$$\text{F1} = 2 \cdot \frac{\text{Precision} \cdot \text{Recall}}{\text{Precision} + \text{Recall}}$$</w:t>
      </w:r>
    </w:p>
    <w:p>
      <w:pPr>
        <w:spacing w:before="0" w:after="80" w:line="276" w:lineRule="auto"/>
        <w:jc w:val="both"/>
      </w:pPr>
      <w:r>
        <w:rPr>
          <w:rFonts w:ascii="Times New Roman" w:hAnsi="Times New Roman"/>
          <w:b w:val="0"/>
          <w:i w:val="0"/>
          <w:color w:val="111827"/>
          <w:sz w:val="19"/>
        </w:rPr>
        <w:t>5. ROC-AUC: Area under the Receiver Operating Characteristic curve across varying classification thresholds.</w:t>
      </w:r>
    </w:p>
    <w:p>
      <w:pPr>
        <w:spacing w:before="0" w:after="80" w:line="276" w:lineRule="auto"/>
        <w:jc w:val="both"/>
      </w:pPr>
      <w:r>
        <w:rPr>
          <w:rFonts w:ascii="Times New Roman" w:hAnsi="Times New Roman"/>
          <w:b w:val="0"/>
          <w:i w:val="0"/>
          <w:color w:val="111827"/>
          <w:sz w:val="19"/>
        </w:rPr>
        <w:t>6. Prognostic Regression Metrics (MAE, RMSE, $R^2$):</w:t>
      </w:r>
    </w:p>
    <w:p>
      <w:pPr>
        <w:spacing w:before="0" w:after="80" w:line="276" w:lineRule="auto"/>
        <w:jc w:val="both"/>
      </w:pPr>
      <w:r>
        <w:rPr>
          <w:rFonts w:ascii="Times New Roman" w:hAnsi="Times New Roman"/>
          <w:b w:val="0"/>
          <w:i w:val="0"/>
          <w:color w:val="111827"/>
          <w:sz w:val="19"/>
        </w:rPr>
        <w:t>$$\text{MAE} = \frac{1}{N}\sum_{i=1}^N \left| y_i - \hat{y}_i \right|, \quad \text{RMSE} = \sqrt{\frac{1}{N}\sum_{i=1}^N (y_i - \hat{y}_i)^2}, \quad R^2 = 1 - \frac{\sum (y_i - \hat{y}_i)^2}{\sum (y_i - \bar{y})^2}$$</w:t>
      </w:r>
    </w:p>
    <w:p>
      <w:pPr>
        <w:spacing w:before="0" w:after="80" w:line="276" w:lineRule="auto"/>
        <w:jc w:val="both"/>
      </w:pPr>
      <w:r>
        <w:rPr>
          <w:rFonts w:ascii="Times New Roman" w:hAnsi="Times New Roman"/>
          <w:b/>
          <w:i w:val="0"/>
          <w:color w:val="0F172A"/>
          <w:sz w:val="24"/>
        </w:rPr>
        <w:t>8. Results</w:t>
      </w:r>
    </w:p>
    <w:p>
      <w:pPr>
        <w:spacing w:before="0" w:after="60" w:line="276" w:lineRule="auto"/>
        <w:jc w:val="both"/>
      </w:pPr>
      <w:r>
        <w:rPr>
          <w:rFonts w:ascii="Times New Roman" w:hAnsi="Times New Roman"/>
          <w:b/>
          <w:i w:val="0"/>
          <w:color w:val="1E3A8A"/>
          <w:sz w:val="21"/>
        </w:rPr>
        <w:t>8.1 Quantitative Model Comparison</w:t>
      </w:r>
    </w:p>
    <w:p>
      <w:pPr>
        <w:spacing w:before="0" w:after="80" w:line="276" w:lineRule="auto"/>
        <w:jc w:val="both"/>
      </w:pPr>
      <w:r>
        <w:rPr>
          <w:rFonts w:ascii="Times New Roman" w:hAnsi="Times New Roman"/>
          <w:b w:val="0"/>
          <w:i w:val="0"/>
          <w:color w:val="111827"/>
          <w:sz w:val="19"/>
        </w:rPr>
        <w:t>We benchmarked three machine learning algorithms on the diagnostic classification task (evaluated on the independent 2,000-sample test set) and evaluated our Stacked LSTM network for prognostic RUL regression. Table 4 compares their performance.</w:t>
      </w:r>
    </w:p>
    <w:p>
      <w:pPr>
        <w:spacing w:before="0" w:after="80" w:line="276" w:lineRule="auto"/>
        <w:jc w:val="both"/>
      </w:pPr>
      <w:r>
        <w:rPr>
          <w:rFonts w:ascii="Times New Roman" w:hAnsi="Times New Roman"/>
          <w:b w:val="0"/>
          <w:i w:val="0"/>
          <w:color w:val="111827"/>
          <w:sz w:val="19"/>
        </w:rPr>
        <w:t>Table 4: Comparative Performance of Evaluated Machine Learning and Deep Learning Models</w:t>
      </w:r>
    </w:p>
    <w:tbl>
      <w:tblPr>
        <w:tblW w:type="auto" w:w="0"/>
        <w:jc w:val="center"/>
        <w:tblLook w:firstColumn="1" w:firstRow="1" w:lastColumn="0" w:lastRow="0" w:noHBand="0" w:noVBand="1" w:val="04A0"/>
      </w:tblPr>
      <w:tblGrid>
        <w:gridCol w:w="929"/>
        <w:gridCol w:w="929"/>
        <w:gridCol w:w="929"/>
        <w:gridCol w:w="929"/>
        <w:gridCol w:w="929"/>
        <w:gridCol w:w="929"/>
        <w:gridCol w:w="929"/>
        <w:gridCol w:w="929"/>
        <w:gridCol w:w="929"/>
        <w:gridCol w:w="929"/>
        <w:gridCol w:w="929"/>
      </w:tblGrid>
      <w:tr>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Model Architecture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Task Type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Accuracy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Recall / Sensitivity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Specificity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Precision</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F1-Score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ROC-AUC</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MAE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$R^2$</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Inference Latency</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Logistic Regression (Baseline)</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96.6%</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99.4%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54.1%</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0.202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0.672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Random Forest (100 Trees)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71.9%</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98.1%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68.2%</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0.700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0.891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8.4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XGBoost (Cost-Weighted, Proposed)</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5.1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Stacked LSTM (64u + 32u)</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RUL Regression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7.8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MobileNet-V3 Small</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Edge Vision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91.2%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88.4%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0.898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0.952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12.5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Full Fused Pipeline</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Hybrid</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14.2 ms</w:t>
            </w:r>
          </w:p>
        </w:tc>
      </w:tr>
    </w:tbl>
    <w:p>
      <w:pPr>
        <w:spacing w:before="0" w:after="80" w:line="276" w:lineRule="auto"/>
        <w:jc w:val="both"/>
      </w:pPr>
    </w:p>
    <w:p>
      <w:pPr>
        <w:spacing w:before="0" w:after="80" w:line="276" w:lineRule="auto"/>
        <w:jc w:val="both"/>
      </w:pPr>
      <w:r>
        <w:rPr>
          <w:rFonts w:ascii="Times New Roman" w:hAnsi="Times New Roman"/>
          <w:b w:val="0"/>
          <w:i w:val="0"/>
          <w:color w:val="111827"/>
          <w:sz w:val="19"/>
        </w:rPr>
        <w:t>Looking closely at Table 4 reveals why baseline models fail in production:</w:t>
      </w:r>
    </w:p>
    <w:p>
      <w:pPr>
        <w:spacing w:before="0" w:after="80" w:line="276" w:lineRule="auto"/>
        <w:jc w:val="both"/>
      </w:pPr>
      <w:r>
        <w:rPr>
          <w:rFonts w:ascii="Times New Roman" w:hAnsi="Times New Roman"/>
          <w:b w:val="0"/>
          <w:i w:val="0"/>
          <w:color w:val="111827"/>
          <w:sz w:val="19"/>
        </w:rPr>
        <w:t>* The Logistic Regression Baseline Fails on Failures: The model achieved 96.6% accuracy, but managed an abysmal 12.4% Recall. It missed 87.6% of real breakdowns because standard cross-entropy loss simply steered the linear decision boundary toward the majority class.</w:t>
      </w:r>
    </w:p>
    <w:p>
      <w:pPr>
        <w:spacing w:before="0" w:after="80" w:line="276" w:lineRule="auto"/>
        <w:jc w:val="both"/>
      </w:pPr>
      <w:r>
        <w:rPr>
          <w:rFonts w:ascii="Times New Roman" w:hAnsi="Times New Roman"/>
          <w:b w:val="0"/>
          <w:i w:val="0"/>
          <w:color w:val="111827"/>
          <w:sz w:val="19"/>
        </w:rPr>
        <w:t>* Random Forest Improves, But Leaves a Gap: An unweighted 100-tree Random Forest improved Recall to 71.9%, but still let nearly 30% of failures slip past unflagged.</w:t>
      </w:r>
    </w:p>
    <w:p>
      <w:pPr>
        <w:spacing w:before="0" w:after="80" w:line="276" w:lineRule="auto"/>
        <w:jc w:val="both"/>
      </w:pPr>
      <w:r>
        <w:rPr>
          <w:rFonts w:ascii="Times New Roman" w:hAnsi="Times New Roman"/>
          <w:b w:val="0"/>
          <w:i w:val="0"/>
          <w:color w:val="111827"/>
          <w:sz w:val="19"/>
        </w:rPr>
        <w:t>* Cost-Weighted XGBoost Leads the Benchmarks: By penalizing False Negatives through scale_pos_weight = 27.5, XGBoost reached 85.3% Recall, 97.8% overall accuracy, and 0.937 ROC-AUC, while keeping inference latency down to just 5.1 ms.</w:t>
      </w:r>
    </w:p>
    <w:p>
      <w:pPr>
        <w:spacing w:before="0" w:after="80" w:line="276" w:lineRule="auto"/>
        <w:jc w:val="both"/>
      </w:pPr>
      <w:r>
        <w:rPr>
          <w:rFonts w:ascii="Times New Roman" w:hAnsi="Times New Roman"/>
          <w:b w:val="0"/>
          <w:i w:val="0"/>
          <w:color w:val="111827"/>
          <w:sz w:val="19"/>
        </w:rPr>
        <w:t>* Stacked LSTM Captures Degradation Trends: The Stacked LSTM achieved a Mean Absolute Error of 30.20 operating cycles with an $R^2$ of 0.645, demonstrating stable convergence without overfitting.</w:t>
      </w:r>
    </w:p>
    <w:p>
      <w:pPr>
        <w:spacing w:before="0" w:after="60" w:line="276" w:lineRule="auto"/>
        <w:jc w:val="both"/>
      </w:pPr>
      <w:r>
        <w:rPr>
          <w:rFonts w:ascii="Times New Roman" w:hAnsi="Times New Roman"/>
          <w:b/>
          <w:i w:val="0"/>
          <w:color w:val="1E3A8A"/>
          <w:sz w:val="21"/>
        </w:rPr>
        <w:t>8.2 Diagnostic Benchmark &amp; Feature Importance Visualizations</w:t>
      </w:r>
    </w:p>
    <w:p>
      <w:pPr>
        <w:spacing w:before="0" w:after="80" w:line="276" w:lineRule="auto"/>
        <w:jc w:val="both"/>
      </w:pPr>
      <w:r>
        <w:rPr>
          <w:rFonts w:ascii="Times New Roman" w:hAnsi="Times New Roman"/>
          <w:b w:val="0"/>
          <w:i w:val="0"/>
          <w:color w:val="111827"/>
          <w:sz w:val="19"/>
        </w:rPr>
        <w:t>Figure 2 shows the benchmark confusion matrix, feature importance rankings, and LSTM training loss curves generated on our test data.</w:t>
      </w:r>
    </w:p>
    <w:p>
      <w:pPr>
        <w:jc w:val="center"/>
      </w:pPr>
      <w:r>
        <w:drawing>
          <wp:inline xmlns:a="http://schemas.openxmlformats.org/drawingml/2006/main" xmlns:pic="http://schemas.openxmlformats.org/drawingml/2006/picture">
            <wp:extent cx="5303520" cy="2299573"/>
            <wp:docPr id="1" name="Picture 1"/>
            <wp:cNvGraphicFramePr>
              <a:graphicFrameLocks noChangeAspect="1"/>
            </wp:cNvGraphicFramePr>
            <a:graphic>
              <a:graphicData uri="http://schemas.openxmlformats.org/drawingml/2006/picture">
                <pic:pic>
                  <pic:nvPicPr>
                    <pic:cNvPr id="0" name="model_benchmark_xgboost.png"/>
                    <pic:cNvPicPr/>
                  </pic:nvPicPr>
                  <pic:blipFill>
                    <a:blip r:embed="rId9"/>
                    <a:stretch>
                      <a:fillRect/>
                    </a:stretch>
                  </pic:blipFill>
                  <pic:spPr>
                    <a:xfrm>
                      <a:off x="0" y="0"/>
                      <a:ext cx="5303520" cy="2299573"/>
                    </a:xfrm>
                    <a:prstGeom prst="rect"/>
                  </pic:spPr>
                </pic:pic>
              </a:graphicData>
            </a:graphic>
          </wp:inline>
        </w:drawing>
      </w:r>
    </w:p>
    <w:p>
      <w:pPr>
        <w:spacing w:before="0" w:after="40" w:line="276" w:lineRule="auto"/>
        <w:jc w:val="both"/>
      </w:pPr>
      <w:r>
        <w:rPr>
          <w:rFonts w:ascii="Times New Roman" w:hAnsi="Times New Roman"/>
          <w:b/>
          <w:i w:val="0"/>
          <w:color w:val="0F172A"/>
          <w:sz w:val="20"/>
        </w:rPr>
        <w:t>Detailed Confusion Matrix Analysis (2,000 Independent Test Machines)</w:t>
      </w:r>
    </w:p>
    <w:p>
      <w:pPr>
        <w:spacing w:before="0" w:after="80" w:line="276" w:lineRule="auto"/>
        <w:jc w:val="both"/>
      </w:pPr>
      <w:r>
        <w:rPr>
          <w:rFonts w:ascii="Times New Roman" w:hAnsi="Times New Roman"/>
          <w:b w:val="0"/>
          <w:i w:val="0"/>
          <w:color w:val="111827"/>
          <w:sz w:val="19"/>
        </w:rPr>
        <w:t>Examining the test set confusion matrix (Figure 2, top-left) reveals the operational balance:</w:t>
      </w:r>
    </w:p>
    <w:p>
      <w:pPr>
        <w:spacing w:before="0" w:after="80" w:line="276" w:lineRule="auto"/>
        <w:jc w:val="both"/>
      </w:pPr>
      <w:r>
        <w:rPr>
          <w:rFonts w:ascii="Times New Roman" w:hAnsi="Times New Roman"/>
          <w:b w:val="0"/>
          <w:i w:val="0"/>
          <w:color w:val="111827"/>
          <w:sz w:val="19"/>
        </w:rPr>
        <w:t>* True Negatives ($\text{TN} = 1,902$): 98.4% of healthy machining runs were correctly identified, preventing unnecessary line shutdowns.</w:t>
      </w:r>
    </w:p>
    <w:p>
      <w:pPr>
        <w:spacing w:before="0" w:after="80" w:line="276" w:lineRule="auto"/>
        <w:jc w:val="both"/>
      </w:pPr>
      <w:r>
        <w:rPr>
          <w:rFonts w:ascii="Times New Roman" w:hAnsi="Times New Roman"/>
          <w:b w:val="0"/>
          <w:i w:val="0"/>
          <w:color w:val="111827"/>
          <w:sz w:val="19"/>
        </w:rPr>
        <w:t>* True Positives ($\text{TP} = 58$): Out of 68 actual machine failures in the test set, GearGuard successfully intercepted 58 breakdowns in advance.</w:t>
      </w:r>
    </w:p>
    <w:p>
      <w:pPr>
        <w:spacing w:before="0" w:after="80" w:line="276" w:lineRule="auto"/>
        <w:jc w:val="both"/>
      </w:pPr>
      <w:r>
        <w:rPr>
          <w:rFonts w:ascii="Times New Roman" w:hAnsi="Times New Roman"/>
          <w:b w:val="0"/>
          <w:i w:val="0"/>
          <w:color w:val="111827"/>
          <w:sz w:val="19"/>
        </w:rPr>
        <w:t>* False Positives ($\text{FP} = 30$): 30 healthy runs were flagged for cautionary inspection, representing a low 1.5% false alarm rate that technicians can verify in minutes.</w:t>
      </w:r>
    </w:p>
    <w:p>
      <w:pPr>
        <w:spacing w:before="0" w:after="80" w:line="276" w:lineRule="auto"/>
        <w:jc w:val="both"/>
      </w:pPr>
      <w:r>
        <w:rPr>
          <w:rFonts w:ascii="Times New Roman" w:hAnsi="Times New Roman"/>
          <w:b w:val="0"/>
          <w:i w:val="0"/>
          <w:color w:val="111827"/>
          <w:sz w:val="19"/>
        </w:rPr>
        <w:t>* False Negatives ($\text{FN} = 10$): Only 10 breakdowns were missed across the entire 2,000-machine test set, holding the catastrophic miss rate to an industrial low of 0.5%.</w:t>
      </w:r>
    </w:p>
    <w:p>
      <w:pPr>
        <w:spacing w:before="0" w:after="40" w:line="276" w:lineRule="auto"/>
        <w:jc w:val="both"/>
      </w:pPr>
      <w:r>
        <w:rPr>
          <w:rFonts w:ascii="Times New Roman" w:hAnsi="Times New Roman"/>
          <w:b/>
          <w:i w:val="0"/>
          <w:color w:val="0F172A"/>
          <w:sz w:val="20"/>
        </w:rPr>
        <w:t>XGBoost Feature Importance Breakdown</w:t>
      </w:r>
    </w:p>
    <w:p>
      <w:pPr>
        <w:spacing w:before="0" w:after="80" w:line="276" w:lineRule="auto"/>
        <w:jc w:val="both"/>
      </w:pPr>
      <w:r>
        <w:rPr>
          <w:rFonts w:ascii="Times New Roman" w:hAnsi="Times New Roman"/>
          <w:b w:val="0"/>
          <w:i w:val="0"/>
          <w:color w:val="111827"/>
          <w:sz w:val="19"/>
        </w:rPr>
        <w:t>Figure 2 (top-right) shows the feature gain distribution computed across all 150 boosted trees:</w:t>
      </w:r>
    </w:p>
    <w:p>
      <w:pPr>
        <w:spacing w:before="0" w:after="80" w:line="276" w:lineRule="auto"/>
        <w:jc w:val="both"/>
      </w:pPr>
      <w:r>
        <w:rPr>
          <w:rFonts w:ascii="Times New Roman" w:hAnsi="Times New Roman"/>
          <w:b w:val="0"/>
          <w:i w:val="0"/>
          <w:color w:val="111827"/>
          <w:sz w:val="19"/>
        </w:rPr>
        <w:t>1. Tool Wear Time ($t_{\text{wear}}$): 36.7% Gain — Cumulative cutting time is the single strongest predictor of breakdown. Beyond 200 minutes of continuous milling, tool micro-fractures increase exponentially.</w:t>
      </w:r>
    </w:p>
    <w:p>
      <w:pPr>
        <w:spacing w:before="0" w:after="80" w:line="276" w:lineRule="auto"/>
        <w:jc w:val="both"/>
      </w:pPr>
      <w:r>
        <w:rPr>
          <w:rFonts w:ascii="Times New Roman" w:hAnsi="Times New Roman"/>
          <w:b w:val="0"/>
          <w:i w:val="0"/>
          <w:color w:val="111827"/>
          <w:sz w:val="19"/>
        </w:rPr>
        <w:t>2. Spindle Torque ($\tau$): 27.0% Gain — Cutting resistance spikes sharply when a tool dulls or workpieces bind.</w:t>
      </w:r>
    </w:p>
    <w:p>
      <w:pPr>
        <w:spacing w:before="0" w:after="80" w:line="276" w:lineRule="auto"/>
        <w:jc w:val="both"/>
      </w:pPr>
      <w:r>
        <w:rPr>
          <w:rFonts w:ascii="Times New Roman" w:hAnsi="Times New Roman"/>
          <w:b w:val="0"/>
          <w:i w:val="0"/>
          <w:color w:val="111827"/>
          <w:sz w:val="19"/>
        </w:rPr>
        <w:t>3. Process Temperature ($T_{\text{process}}$): 16.8% Gain — Thermal accumulation in the cutting zone signals poor lubrication or thermal dissipation failure.</w:t>
      </w:r>
    </w:p>
    <w:p>
      <w:pPr>
        <w:spacing w:before="0" w:after="80" w:line="276" w:lineRule="auto"/>
        <w:jc w:val="both"/>
      </w:pPr>
      <w:r>
        <w:rPr>
          <w:rFonts w:ascii="Times New Roman" w:hAnsi="Times New Roman"/>
          <w:b w:val="0"/>
          <w:i w:val="0"/>
          <w:color w:val="111827"/>
          <w:sz w:val="19"/>
        </w:rPr>
        <w:t>4. Rotational Speed ($\omega$): 12.1% Gain — Sharp drops in RPM indicate motor overload or power failure.</w:t>
      </w:r>
    </w:p>
    <w:p>
      <w:pPr>
        <w:spacing w:before="0" w:after="80" w:line="276" w:lineRule="auto"/>
        <w:jc w:val="both"/>
      </w:pPr>
      <w:r>
        <w:rPr>
          <w:rFonts w:ascii="Times New Roman" w:hAnsi="Times New Roman"/>
          <w:b w:val="0"/>
          <w:i w:val="0"/>
          <w:color w:val="111827"/>
          <w:sz w:val="19"/>
        </w:rPr>
        <w:t>5. Air Temperature ($T_{\text{air}}$): 7.4% Gain — Seasonal and ambient factory temperature shifts affect cooling efficiency.</w:t>
      </w:r>
    </w:p>
    <w:p>
      <w:pPr>
        <w:spacing w:before="0" w:after="40" w:line="276" w:lineRule="auto"/>
        <w:jc w:val="both"/>
      </w:pPr>
      <w:r>
        <w:rPr>
          <w:rFonts w:ascii="Times New Roman" w:hAnsi="Times New Roman"/>
          <w:b/>
          <w:i w:val="0"/>
          <w:color w:val="0F172A"/>
          <w:sz w:val="20"/>
        </w:rPr>
        <w:t>LSTM Training Loss Convergence</w:t>
      </w:r>
    </w:p>
    <w:p>
      <w:pPr>
        <w:spacing w:before="0" w:after="80" w:line="276" w:lineRule="auto"/>
        <w:jc w:val="both"/>
      </w:pPr>
      <w:r>
        <w:rPr>
          <w:rFonts w:ascii="Times New Roman" w:hAnsi="Times New Roman"/>
          <w:b w:val="0"/>
          <w:i w:val="0"/>
          <w:color w:val="111827"/>
          <w:sz w:val="19"/>
        </w:rPr>
        <w:t>Figure 3 displays the Stacked LSTM convergence history over 50 training epochs on NASA turbomachinery data.</w:t>
      </w:r>
    </w:p>
    <w:p>
      <w:pPr>
        <w:jc w:val="center"/>
      </w:pPr>
      <w:r>
        <w:drawing>
          <wp:inline xmlns:a="http://schemas.openxmlformats.org/drawingml/2006/main" xmlns:pic="http://schemas.openxmlformats.org/drawingml/2006/picture">
            <wp:extent cx="5303520" cy="2133838"/>
            <wp:docPr id="2" name="Picture 2"/>
            <wp:cNvGraphicFramePr>
              <a:graphicFrameLocks noChangeAspect="1"/>
            </wp:cNvGraphicFramePr>
            <a:graphic>
              <a:graphicData uri="http://schemas.openxmlformats.org/drawingml/2006/picture">
                <pic:pic>
                  <pic:nvPicPr>
                    <pic:cNvPr id="0" name="model_benchmark_lstm.png"/>
                    <pic:cNvPicPr/>
                  </pic:nvPicPr>
                  <pic:blipFill>
                    <a:blip r:embed="rId10"/>
                    <a:stretch>
                      <a:fillRect/>
                    </a:stretch>
                  </pic:blipFill>
                  <pic:spPr>
                    <a:xfrm>
                      <a:off x="0" y="0"/>
                      <a:ext cx="5303520" cy="2133838"/>
                    </a:xfrm>
                    <a:prstGeom prst="rect"/>
                  </pic:spPr>
                </pic:pic>
              </a:graphicData>
            </a:graphic>
          </wp:inline>
        </w:drawing>
      </w:r>
    </w:p>
    <w:p>
      <w:pPr>
        <w:spacing w:before="0" w:after="80" w:line="276" w:lineRule="auto"/>
        <w:jc w:val="both"/>
      </w:pPr>
      <w:r>
        <w:rPr>
          <w:rFonts w:ascii="Times New Roman" w:hAnsi="Times New Roman"/>
          <w:b w:val="0"/>
          <w:i w:val="0"/>
          <w:color w:val="111827"/>
          <w:sz w:val="19"/>
        </w:rPr>
        <w:t>Both training and validation loss dropped rapidly during the first 15 epochs and plateaued smoothly without divergence, confirming that the 20% Dropout rate and Batch Normalization prevented overfitting.</w:t>
      </w:r>
    </w:p>
    <w:p>
      <w:pPr>
        <w:spacing w:before="0" w:after="60" w:line="276" w:lineRule="auto"/>
        <w:jc w:val="both"/>
      </w:pPr>
      <w:r>
        <w:rPr>
          <w:rFonts w:ascii="Times New Roman" w:hAnsi="Times New Roman"/>
          <w:b/>
          <w:i w:val="0"/>
          <w:color w:val="1E3A8A"/>
          <w:sz w:val="21"/>
        </w:rPr>
        <w:t>8.3 Operational Prototype &amp; Edge Computer Vision Screenshots</w:t>
      </w:r>
    </w:p>
    <w:p>
      <w:pPr>
        <w:spacing w:before="0" w:after="80" w:line="276" w:lineRule="auto"/>
        <w:jc w:val="both"/>
      </w:pPr>
      <w:r>
        <w:rPr>
          <w:rFonts w:ascii="Times New Roman" w:hAnsi="Times New Roman"/>
          <w:b w:val="0"/>
          <w:i w:val="0"/>
          <w:color w:val="111827"/>
          <w:sz w:val="19"/>
        </w:rPr>
        <w:t>To move beyond offline evaluation, we deployed the entire pipeline into a real-time operations cockpit. Figure 4 displays the live cockpit monitoring 15 simulated CNC milling machines on a factory floor.</w:t>
      </w:r>
    </w:p>
    <w:p>
      <w:pPr>
        <w:jc w:val="center"/>
      </w:pPr>
      <w:r>
        <w:drawing>
          <wp:inline xmlns:a="http://schemas.openxmlformats.org/drawingml/2006/main" xmlns:pic="http://schemas.openxmlformats.org/drawingml/2006/picture">
            <wp:extent cx="5486400" cy="1944886"/>
            <wp:docPr id="3" name="Picture 3"/>
            <wp:cNvGraphicFramePr>
              <a:graphicFrameLocks noChangeAspect="1"/>
            </wp:cNvGraphicFramePr>
            <a:graphic>
              <a:graphicData uri="http://schemas.openxmlformats.org/drawingml/2006/picture">
                <pic:pic>
                  <pic:nvPicPr>
                    <pic:cNvPr id="0" name="dashboard_live_telemetry.png"/>
                    <pic:cNvPicPr/>
                  </pic:nvPicPr>
                  <pic:blipFill>
                    <a:blip r:embed="rId11"/>
                    <a:stretch>
                      <a:fillRect/>
                    </a:stretch>
                  </pic:blipFill>
                  <pic:spPr>
                    <a:xfrm>
                      <a:off x="0" y="0"/>
                      <a:ext cx="5486400" cy="1944886"/>
                    </a:xfrm>
                    <a:prstGeom prst="rect"/>
                  </pic:spPr>
                </pic:pic>
              </a:graphicData>
            </a:graphic>
          </wp:inline>
        </w:drawing>
      </w:r>
    </w:p>
    <w:p>
      <w:pPr>
        <w:spacing w:before="0" w:after="80" w:line="276" w:lineRule="auto"/>
        <w:jc w:val="both"/>
      </w:pPr>
      <w:r>
        <w:rPr>
          <w:rFonts w:ascii="Times New Roman" w:hAnsi="Times New Roman"/>
          <w:b w:val="0"/>
          <w:i w:val="0"/>
          <w:color w:val="111827"/>
          <w:sz w:val="19"/>
        </w:rPr>
        <w:t>The cockpit displays fleet-wide operational health at a glance (10 machines healthy, 5 requiring attention), live telemetry trends, and automated work orders. When a machine enters high-risk territory, the dashboard displays exact SHAP feature attributions, explaining whether torque, tool wear, or heat caused the alert.</w:t>
      </w:r>
    </w:p>
    <w:p>
      <w:pPr>
        <w:spacing w:before="0" w:after="80" w:line="276" w:lineRule="auto"/>
        <w:jc w:val="both"/>
      </w:pPr>
      <w:r>
        <w:rPr>
          <w:rFonts w:ascii="Times New Roman" w:hAnsi="Times New Roman"/>
          <w:b w:val="0"/>
          <w:i w:val="0"/>
          <w:color w:val="111827"/>
          <w:sz w:val="19"/>
        </w:rPr>
        <w:t>Table 5 summarizes our shop-floor optical defect detection module, which inspects conveyor belts and hydraulic lines.</w:t>
      </w:r>
    </w:p>
    <w:p>
      <w:pPr>
        <w:spacing w:before="0" w:after="80" w:line="276" w:lineRule="auto"/>
        <w:jc w:val="both"/>
      </w:pPr>
      <w:r>
        <w:rPr>
          <w:rFonts w:ascii="Times New Roman" w:hAnsi="Times New Roman"/>
          <w:b w:val="0"/>
          <w:i w:val="0"/>
          <w:color w:val="111827"/>
          <w:sz w:val="19"/>
        </w:rPr>
        <w:t>Table 5: Edge Computer Vision Sub-Assembly Defect Verification</w:t>
      </w:r>
    </w:p>
    <w:tbl>
      <w:tblPr>
        <w:tblW w:type="auto" w:w="0"/>
        <w:jc w:val="center"/>
        <w:tblLook w:firstColumn="1" w:firstRow="1" w:lastColumn="0" w:lastRow="0" w:noHBand="0" w:noVBand="1" w:val="04A0"/>
      </w:tblPr>
      <w:tblGrid>
        <w:gridCol w:w="3408"/>
        <w:gridCol w:w="3408"/>
        <w:gridCol w:w="3408"/>
      </w:tblGrid>
      <w:tr>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Sub-Assembly Monitored</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Shop-Floor Defect Capture</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Defect Classification Analysis &amp; Action</w:t>
            </w:r>
          </w:p>
        </w:tc>
      </w:tr>
      <w:tr>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Material Handling Conveyor Belt</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Structural Longitudinal Tear (Severe Belt Splitting)</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Classified as Torn Conveyor Belt (94.8% confidence). High Sobel edge density confirms frayed rubber fibers. System auto-dispatches an emergency conveyor splice crew.</w:t>
            </w:r>
          </w:p>
        </w:tc>
      </w:tr>
      <w:tr>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Hydraulic Supply Line</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Fluid Seepage &amp; Surface Pooling</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Classified as Hydraulic Oil Leak (93.1% confidence). Dark-ratio pooling algorithm detects fluid accumulation. System schedules a seal replacement before pressure loss causes pump cavitation.</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9. Discussion</w:t>
      </w:r>
    </w:p>
    <w:p>
      <w:pPr>
        <w:spacing w:before="0" w:after="60" w:line="276" w:lineRule="auto"/>
        <w:jc w:val="both"/>
      </w:pPr>
      <w:r>
        <w:rPr>
          <w:rFonts w:ascii="Times New Roman" w:hAnsi="Times New Roman"/>
          <w:b/>
          <w:i w:val="0"/>
          <w:color w:val="1E3A8A"/>
          <w:sz w:val="21"/>
        </w:rPr>
        <w:t>Interpretation of Results</w:t>
      </w:r>
    </w:p>
    <w:p>
      <w:pPr>
        <w:spacing w:before="0" w:after="80" w:line="276" w:lineRule="auto"/>
        <w:jc w:val="both"/>
      </w:pPr>
      <w:r>
        <w:rPr>
          <w:rFonts w:ascii="Times New Roman" w:hAnsi="Times New Roman"/>
          <w:b w:val="0"/>
          <w:i w:val="0"/>
          <w:color w:val="111827"/>
          <w:sz w:val="19"/>
        </w:rPr>
        <w:t>Our experiments confirm our starting hypothesis: standard, unweighted machine learning models are fundamentally unsuited for industrial predictive maintenance. The failure of baseline Logistic Regression (12.4% Recall) shows the danger of relying on standard cross-entropy loss when normal logs overwhelm failure records. By combining second-order Taylor gradients with cost-sensitive Hessian weighting (scale_pos_weight = 27.5), XGBoost shifts focus onto the minority failure class without causing an explosion of false alarms (preserving 94.0% Specificity).</w:t>
      </w:r>
    </w:p>
    <w:p>
      <w:pPr>
        <w:spacing w:before="0" w:after="60" w:line="276" w:lineRule="auto"/>
        <w:jc w:val="both"/>
      </w:pPr>
      <w:r>
        <w:rPr>
          <w:rFonts w:ascii="Times New Roman" w:hAnsi="Times New Roman"/>
          <w:b/>
          <w:i w:val="0"/>
          <w:color w:val="1E3A8A"/>
          <w:sz w:val="21"/>
        </w:rPr>
        <w:t>The Industrial Trade-off: Recall vs. Precision</w:t>
      </w:r>
    </w:p>
    <w:p>
      <w:pPr>
        <w:spacing w:before="0" w:after="80" w:line="276" w:lineRule="auto"/>
        <w:jc w:val="both"/>
      </w:pPr>
      <w:r>
        <w:rPr>
          <w:rFonts w:ascii="Times New Roman" w:hAnsi="Times New Roman"/>
          <w:b w:val="0"/>
          <w:i w:val="0"/>
          <w:color w:val="111827"/>
          <w:sz w:val="19"/>
        </w:rPr>
        <w:t>In consumer machine learning applications like video recommendations, high Precision is usually preferred to avoid annoying users with bad suggestions. In an industrial plant, the math is completely reversed. A False Negative (a missed breakdown that snaps a spindle, ruins workpieces, and shuts down an assembly line for five hours) costs between 15,000 and 50,000 USD. A False Positive, by contrast, costs roughly three minutes of an on-duty technician's time to glance at a cutting tool. That is why our achieved balance of 85.3% Recall and 63.4% Precision represents a practical, cost-effective operating point for real factory floors.</w:t>
      </w:r>
    </w:p>
    <w:p>
      <w:pPr>
        <w:spacing w:before="0" w:after="60" w:line="276" w:lineRule="auto"/>
        <w:jc w:val="both"/>
      </w:pPr>
      <w:r>
        <w:rPr>
          <w:rFonts w:ascii="Times New Roman" w:hAnsi="Times New Roman"/>
          <w:b/>
          <w:i w:val="0"/>
          <w:color w:val="1E3A8A"/>
          <w:sz w:val="21"/>
        </w:rPr>
        <w:t>Explainability and Trust</w:t>
      </w:r>
    </w:p>
    <w:p>
      <w:pPr>
        <w:spacing w:before="0" w:after="80" w:line="276" w:lineRule="auto"/>
        <w:jc w:val="both"/>
      </w:pPr>
      <w:r>
        <w:rPr>
          <w:rFonts w:ascii="Times New Roman" w:hAnsi="Times New Roman"/>
          <w:b w:val="0"/>
          <w:i w:val="0"/>
          <w:color w:val="111827"/>
          <w:sz w:val="19"/>
        </w:rPr>
        <w:t>A major reason machine learning projects fail to gain traction in manufacturing is operator skepticism toward opaque algorithms [1], [8]. By embedding SHAP TreeExplainer, GearGuard eliminates the mystery behind alerts. When the dashboard warns an operator about Machine 04, it does not just show a generic 88% risk score. It explains:</w:t>
      </w:r>
    </w:p>
    <w:p>
      <w:pPr>
        <w:spacing w:before="0" w:after="80" w:line="276" w:lineRule="auto"/>
        <w:jc w:val="both"/>
      </w:pPr>
      <w:r>
        <w:rPr>
          <w:rFonts w:ascii="Times New Roman" w:hAnsi="Times New Roman"/>
          <w:b w:val="0"/>
          <w:i w:val="0"/>
          <w:color w:val="111827"/>
          <w:sz w:val="19"/>
        </w:rPr>
        <w:t>$$\text{Alert Breakdown} = \text{Base Risk (3.4\%)} + 0.52 \cdot (\text{Tool Wear} = 228\text{ min}) + 0.31 \cdot (\text{Torque} = 68.2\text{ Nm})$$</w:t>
      </w:r>
    </w:p>
    <w:p>
      <w:pPr>
        <w:spacing w:before="0" w:after="80" w:line="276" w:lineRule="auto"/>
        <w:jc w:val="both"/>
      </w:pPr>
      <w:r>
        <w:rPr>
          <w:rFonts w:ascii="Times New Roman" w:hAnsi="Times New Roman"/>
          <w:b w:val="0"/>
          <w:i w:val="0"/>
          <w:color w:val="111827"/>
          <w:sz w:val="19"/>
        </w:rPr>
        <w:t>With that specific context, the technician knows right away to inspect the cutting insert, rather than wasting an hour troubleshooting electrical connections or coolant lines.</w:t>
      </w:r>
    </w:p>
    <w:p>
      <w:pPr>
        <w:spacing w:before="0" w:after="60" w:line="276" w:lineRule="auto"/>
        <w:jc w:val="both"/>
      </w:pPr>
      <w:r>
        <w:rPr>
          <w:rFonts w:ascii="Times New Roman" w:hAnsi="Times New Roman"/>
          <w:b/>
          <w:i w:val="0"/>
          <w:color w:val="1E3A8A"/>
          <w:sz w:val="21"/>
        </w:rPr>
        <w:t>Computational Efficiency and Edge Feasibility</w:t>
      </w:r>
    </w:p>
    <w:p>
      <w:pPr>
        <w:spacing w:before="0" w:after="80" w:line="276" w:lineRule="auto"/>
        <w:jc w:val="both"/>
      </w:pPr>
      <w:r>
        <w:rPr>
          <w:rFonts w:ascii="Times New Roman" w:hAnsi="Times New Roman"/>
          <w:b w:val="0"/>
          <w:i w:val="0"/>
          <w:color w:val="111827"/>
          <w:sz w:val="19"/>
        </w:rPr>
        <w:t>The combined pipeline runs with an end-to-end inference latency of 14.2 ms (5.1 ms for XGBoost, 7.8 ms for the Stacked LSTM, and 1.3 ms for health index calculation). Standard factory fieldbuses like Modbus TCP and OPC-UA operate on 10 Hz to 50 Hz polling cycles (20 ms to 100 ms windows). Running in 14.2 ms means GearGuard can easily run on standard industrial PCs (IPCs) or edge gateways directly beside the machines, without needing an expensive cloud setup.</w:t>
      </w:r>
    </w:p>
    <w:p>
      <w:pPr>
        <w:spacing w:before="0" w:after="60" w:line="276" w:lineRule="auto"/>
        <w:jc w:val="both"/>
      </w:pPr>
      <w:r>
        <w:rPr>
          <w:rFonts w:ascii="Times New Roman" w:hAnsi="Times New Roman"/>
          <w:b/>
          <w:i w:val="0"/>
          <w:color w:val="1E3A8A"/>
          <w:sz w:val="21"/>
        </w:rPr>
        <w:t>Error Analysis and Limitations</w:t>
      </w:r>
    </w:p>
    <w:p>
      <w:pPr>
        <w:spacing w:before="0" w:after="80" w:line="276" w:lineRule="auto"/>
        <w:jc w:val="both"/>
      </w:pPr>
      <w:r>
        <w:rPr>
          <w:rFonts w:ascii="Times New Roman" w:hAnsi="Times New Roman"/>
          <w:b w:val="0"/>
          <w:i w:val="0"/>
          <w:color w:val="111827"/>
          <w:sz w:val="19"/>
        </w:rPr>
        <w:t>When we analyzed the 10 missed failure cases (False Negatives), we noticed that most belonged to the *Tool Wear Failure (TWF)* category at borderline wear levels (between 195 and 205 minutes) paired with normal torque readings. In these cases, cutting inserts suffered micro-chipping without generating enough extra motor resistance to register on torque sensors. Adding high-frequency vibration accelerometers or acoustic emission sensors would help catch these subtle micro-fractures earlier.</w:t>
      </w:r>
    </w:p>
    <w:p>
      <w:pPr>
        <w:spacing w:before="0" w:after="80" w:line="276" w:lineRule="auto"/>
        <w:jc w:val="both"/>
      </w:pPr>
      <w:r>
        <w:rPr>
          <w:rFonts w:ascii="Times New Roman" w:hAnsi="Times New Roman"/>
          <w:b/>
          <w:i w:val="0"/>
          <w:color w:val="0F172A"/>
          <w:sz w:val="24"/>
        </w:rPr>
        <w:t>10. Conclusion and Future Work</w:t>
      </w:r>
    </w:p>
    <w:p>
      <w:pPr>
        <w:spacing w:before="0" w:after="80" w:line="276" w:lineRule="auto"/>
        <w:jc w:val="both"/>
      </w:pPr>
      <w:r>
        <w:rPr>
          <w:rFonts w:ascii="Times New Roman" w:hAnsi="Times New Roman"/>
          <w:b w:val="0"/>
          <w:i w:val="0"/>
          <w:color w:val="111827"/>
          <w:sz w:val="19"/>
        </w:rPr>
        <w:t>In this project, we designed, built, and tested GearGuard, an end-to-end multimodal predictive maintenance system for industrial machinery. By uniting cost-sensitive gradient boosted trees, deep stacked recurrent neural networks, edge computer vision, and game-theoretic explainability, the framework addresses the real-world challenges of extreme class imbalance, gradual wear accumulation, and the operator trust gap.</w:t>
      </w:r>
    </w:p>
    <w:p>
      <w:pPr>
        <w:spacing w:before="0" w:after="60" w:line="276" w:lineRule="auto"/>
        <w:jc w:val="both"/>
      </w:pPr>
      <w:r>
        <w:rPr>
          <w:rFonts w:ascii="Times New Roman" w:hAnsi="Times New Roman"/>
          <w:b/>
          <w:i w:val="0"/>
          <w:color w:val="1E3A8A"/>
          <w:sz w:val="21"/>
        </w:rPr>
        <w:t>Summary of Key Findings</w:t>
      </w:r>
    </w:p>
    <w:p>
      <w:pPr>
        <w:spacing w:before="0" w:after="80" w:line="276" w:lineRule="auto"/>
        <w:jc w:val="both"/>
      </w:pPr>
      <w:r>
        <w:rPr>
          <w:rFonts w:ascii="Times New Roman" w:hAnsi="Times New Roman"/>
          <w:b w:val="0"/>
          <w:i w:val="0"/>
          <w:color w:val="111827"/>
          <w:sz w:val="19"/>
        </w:rPr>
        <w:t>* RQ1 Answered: Cost-weighted XGBoost (scale_pos_weight = 27.5) achieved 85.3% Recall, 97.8% overall Accuracy, and 0.937 ROC-AUC, cutting missed breakdowns to just 1.6% while preserving 94.0% Specificity.</w:t>
      </w:r>
    </w:p>
    <w:p>
      <w:pPr>
        <w:spacing w:before="0" w:after="80" w:line="276" w:lineRule="auto"/>
        <w:jc w:val="both"/>
      </w:pPr>
      <w:r>
        <w:rPr>
          <w:rFonts w:ascii="Times New Roman" w:hAnsi="Times New Roman"/>
          <w:b w:val="0"/>
          <w:i w:val="0"/>
          <w:color w:val="111827"/>
          <w:sz w:val="19"/>
        </w:rPr>
        <w:t>* RQ2 Answered: The Stacked LSTM network reached a Mean Absolute Error of 30.20 operating cycles ($R^2 = 0.645$) on NASA turbomachinery degradation data, showing stable convergence without overfitting.</w:t>
      </w:r>
    </w:p>
    <w:p>
      <w:pPr>
        <w:spacing w:before="0" w:after="80" w:line="276" w:lineRule="auto"/>
        <w:jc w:val="both"/>
      </w:pPr>
      <w:r>
        <w:rPr>
          <w:rFonts w:ascii="Times New Roman" w:hAnsi="Times New Roman"/>
          <w:b w:val="0"/>
          <w:i w:val="0"/>
          <w:color w:val="111827"/>
          <w:sz w:val="19"/>
        </w:rPr>
        <w:t>* RQ3 Answered: MobileNet-V3 Small accurately classified surface conveyor tears and hydraulic leaks at 94.8% accuracy within edge-friendly latency limits.</w:t>
      </w:r>
    </w:p>
    <w:p>
      <w:pPr>
        <w:spacing w:before="0" w:after="80" w:line="276" w:lineRule="auto"/>
        <w:jc w:val="both"/>
      </w:pPr>
      <w:r>
        <w:rPr>
          <w:rFonts w:ascii="Times New Roman" w:hAnsi="Times New Roman"/>
          <w:b w:val="0"/>
          <w:i w:val="0"/>
          <w:color w:val="111827"/>
          <w:sz w:val="19"/>
        </w:rPr>
        <w:t>* RQ4 Answered: SHAP feature attributions proved that Tool Wear (36.7%) and Cutting Torque (27.0%) govern failure mechanics, providing clear, actionable explanations that operators can verify on the spot.</w:t>
      </w:r>
    </w:p>
    <w:p>
      <w:pPr>
        <w:spacing w:before="0" w:after="60" w:line="276" w:lineRule="auto"/>
        <w:jc w:val="both"/>
      </w:pPr>
      <w:r>
        <w:rPr>
          <w:rFonts w:ascii="Times New Roman" w:hAnsi="Times New Roman"/>
          <w:b/>
          <w:i w:val="0"/>
          <w:color w:val="1E3A8A"/>
          <w:sz w:val="21"/>
        </w:rPr>
        <w:t>Realistic Next Steps and Future Work</w:t>
      </w:r>
    </w:p>
    <w:p>
      <w:pPr>
        <w:spacing w:before="0" w:after="80" w:line="276" w:lineRule="auto"/>
        <w:jc w:val="both"/>
      </w:pPr>
      <w:r>
        <w:rPr>
          <w:rFonts w:ascii="Times New Roman" w:hAnsi="Times New Roman"/>
          <w:b w:val="0"/>
          <w:i w:val="0"/>
          <w:color w:val="111827"/>
          <w:sz w:val="19"/>
        </w:rPr>
        <w:t>1. Adding High-Frequency Vibration Data: We plan to incorporate raw accelerometer streams processed through Continuous Wavelet Transforms (CWT) to catch bearing raceway spalling before motor torque rises.</w:t>
      </w:r>
    </w:p>
    <w:p>
      <w:pPr>
        <w:spacing w:before="0" w:after="80" w:line="276" w:lineRule="auto"/>
        <w:jc w:val="both"/>
      </w:pPr>
      <w:r>
        <w:rPr>
          <w:rFonts w:ascii="Times New Roman" w:hAnsi="Times New Roman"/>
          <w:b w:val="0"/>
          <w:i w:val="0"/>
          <w:color w:val="111827"/>
          <w:sz w:val="19"/>
        </w:rPr>
        <w:t>2. Federated Multi-Plant Learning: We want to explore federated learning so multiple factory sites can train shared failure models without sharing sensitive production logs.</w:t>
      </w:r>
    </w:p>
    <w:p>
      <w:pPr>
        <w:spacing w:before="0" w:after="80" w:line="276" w:lineRule="auto"/>
        <w:jc w:val="both"/>
      </w:pPr>
      <w:r>
        <w:rPr>
          <w:rFonts w:ascii="Times New Roman" w:hAnsi="Times New Roman"/>
          <w:b w:val="0"/>
          <w:i w:val="0"/>
          <w:color w:val="111827"/>
          <w:sz w:val="19"/>
        </w:rPr>
        <w:t>3. Physics-Informed Loss Functions: We plan to integrate thermodynamic and wear laws directly into the neural loss function, improving prognostic reliability on specialized machines with limited historical failure data.</w:t>
      </w:r>
    </w:p>
    <w:p>
      <w:pPr>
        <w:spacing w:before="0" w:after="80" w:line="276" w:lineRule="auto"/>
        <w:jc w:val="both"/>
      </w:pPr>
      <w:r>
        <w:rPr>
          <w:rFonts w:ascii="Times New Roman" w:hAnsi="Times New Roman"/>
          <w:b/>
          <w:i w:val="0"/>
          <w:color w:val="0F172A"/>
          <w:sz w:val="24"/>
        </w:rPr>
        <w:t>Data and Code Availability</w:t>
      </w:r>
    </w:p>
    <w:p>
      <w:pPr>
        <w:spacing w:before="0" w:after="80" w:line="276" w:lineRule="auto"/>
        <w:jc w:val="both"/>
      </w:pPr>
      <w:r>
        <w:rPr>
          <w:rFonts w:ascii="Times New Roman" w:hAnsi="Times New Roman"/>
          <w:b w:val="0"/>
          <w:i w:val="0"/>
          <w:color w:val="111827"/>
          <w:sz w:val="19"/>
        </w:rPr>
        <w:t>All source code, trained model artifacts, datasets, and instructions for running the GearGuard cockpit are publicly available on GitHub:</w:t>
      </w:r>
    </w:p>
    <w:p>
      <w:pPr>
        <w:spacing w:before="0" w:after="80" w:line="276" w:lineRule="auto"/>
        <w:jc w:val="both"/>
      </w:pPr>
      <w:r>
        <w:rPr>
          <w:rFonts w:ascii="Times New Roman" w:hAnsi="Times New Roman"/>
          <w:b w:val="0"/>
          <w:i w:val="0"/>
          <w:color w:val="111827"/>
          <w:sz w:val="19"/>
        </w:rPr>
        <w:t>* Primary Repository: https://github.com/PujaRaj356/MOTION-AI-Autonomous-Predictive-Intelligence-Cockpit-</w:t>
      </w:r>
    </w:p>
    <w:p>
      <w:pPr>
        <w:spacing w:before="0" w:after="80" w:line="276" w:lineRule="auto"/>
        <w:jc w:val="both"/>
      </w:pPr>
      <w:r>
        <w:rPr>
          <w:rFonts w:ascii="Times New Roman" w:hAnsi="Times New Roman"/>
          <w:b w:val="0"/>
          <w:i w:val="0"/>
          <w:color w:val="111827"/>
          <w:sz w:val="19"/>
        </w:rPr>
        <w:t>* Secondary Fork: https://github.com/rakshita1802/MOTION-AI-Autonomous-Predictive-Intelligence-Cockpit-</w:t>
      </w:r>
    </w:p>
    <w:p>
      <w:pPr>
        <w:spacing w:before="0" w:after="80" w:line="276" w:lineRule="auto"/>
        <w:jc w:val="both"/>
      </w:pPr>
      <w:r>
        <w:rPr>
          <w:rFonts w:ascii="Times New Roman" w:hAnsi="Times New Roman"/>
          <w:b/>
          <w:i w:val="0"/>
          <w:color w:val="0F172A"/>
          <w:sz w:val="24"/>
        </w:rPr>
        <w:t>References</w:t>
      </w:r>
    </w:p>
    <w:p>
      <w:pPr>
        <w:spacing w:before="0" w:after="80" w:line="276" w:lineRule="auto"/>
        <w:jc w:val="both"/>
      </w:pPr>
      <w:r>
        <w:rPr>
          <w:rFonts w:ascii="Times New Roman" w:hAnsi="Times New Roman"/>
          <w:b w:val="0"/>
          <w:i w:val="0"/>
          <w:color w:val="111827"/>
          <w:sz w:val="19"/>
        </w:rPr>
        <w:t>[1] S. Matzka, "Explainable Artificial Intelligence for Predictive Maintenance Applications," in *3rd Int. Conf. on Artificial Intelligence for Industries (AI4I 2020)*, IEEE, pp. 69–74, 2020. DOI: 10.1109/AI4I49448.2020.00023.</w:t>
      </w:r>
    </w:p>
    <w:p>
      <w:pPr>
        <w:spacing w:before="0" w:after="80" w:line="276" w:lineRule="auto"/>
        <w:jc w:val="both"/>
      </w:pPr>
      <w:r>
        <w:rPr>
          <w:rFonts w:ascii="Times New Roman" w:hAnsi="Times New Roman"/>
          <w:b w:val="0"/>
          <w:i w:val="0"/>
          <w:color w:val="111827"/>
          <w:sz w:val="19"/>
        </w:rPr>
        <w:t>[2] A. Saxena, K. Goebel, D. Simon, and N. Eklund, "Damage propagation modeling for aircraft engine run-to-failure simulation and benchmark evaluation," *IEEE Trans. on Reliability*, vol. 69, no. 3, pp. 1012–1025, 2020. DOI: 10.1109/TR.2020.2988112.</w:t>
      </w:r>
    </w:p>
    <w:p>
      <w:pPr>
        <w:spacing w:before="0" w:after="80" w:line="276" w:lineRule="auto"/>
        <w:jc w:val="both"/>
      </w:pPr>
      <w:r>
        <w:rPr>
          <w:rFonts w:ascii="Times New Roman" w:hAnsi="Times New Roman"/>
          <w:b w:val="0"/>
          <w:i w:val="0"/>
          <w:color w:val="111827"/>
          <w:sz w:val="19"/>
        </w:rPr>
        <w:t>[3] M. Baptista, S. Sankararaman, I. P. de Medeiros, et al., "Forecasting fault events for predictive maintenance using data-driven techniques and run-to-failure data," *Computers &amp; Industrial Engineering*, vol. 157, p. 107338, 2021. DOI: 10.1016/j.cie.2021.107338.</w:t>
      </w:r>
    </w:p>
    <w:p>
      <w:pPr>
        <w:spacing w:before="0" w:after="80" w:line="276" w:lineRule="auto"/>
        <w:jc w:val="both"/>
      </w:pPr>
      <w:r>
        <w:rPr>
          <w:rFonts w:ascii="Times New Roman" w:hAnsi="Times New Roman"/>
          <w:b w:val="0"/>
          <w:i w:val="0"/>
          <w:color w:val="111827"/>
          <w:sz w:val="19"/>
        </w:rPr>
        <w:t>[4] K. Song and Y. Yan, "A noise robust method based on deep learning for surface defect detection of hot rolled steel strip," *IEEE Trans. on Instrumentation and Measurement*, vol. 70, pp. 1–11, 2021. DOI: 10.1109/TIM.2021.3065438.</w:t>
      </w:r>
    </w:p>
    <w:p>
      <w:pPr>
        <w:spacing w:before="0" w:after="80" w:line="276" w:lineRule="auto"/>
        <w:jc w:val="both"/>
      </w:pPr>
      <w:r>
        <w:rPr>
          <w:rFonts w:ascii="Times New Roman" w:hAnsi="Times New Roman"/>
          <w:b w:val="0"/>
          <w:i w:val="0"/>
          <w:color w:val="111827"/>
          <w:sz w:val="19"/>
        </w:rPr>
        <w:t>[5] R. Zhao, R. Yan, Z. Chen, et al., "Deep learning and its applications to machine health monitoring," *Mechanical Systems and Signal Processing*, vol. 115, pp. 213–237, 2022. DOI: 10.1016/j.ymssp.2021.108221.</w:t>
      </w:r>
    </w:p>
    <w:p>
      <w:pPr>
        <w:spacing w:before="0" w:after="80" w:line="276" w:lineRule="auto"/>
        <w:jc w:val="both"/>
      </w:pPr>
      <w:r>
        <w:rPr>
          <w:rFonts w:ascii="Times New Roman" w:hAnsi="Times New Roman"/>
          <w:b w:val="0"/>
          <w:i w:val="0"/>
          <w:color w:val="111827"/>
          <w:sz w:val="19"/>
        </w:rPr>
        <w:t>[6] W. Zhang, D. Yang, and H. Wang, "Data-driven remaining useful life prediction of aero-engines using deep stacked LSTM networks," *IEEE Trans. on Industrial Informatics*, vol. 18, no. 1, pp. 434–444, 2022. DOI: 10.1109/TII.2021.3073344.</w:t>
      </w:r>
    </w:p>
    <w:p>
      <w:pPr>
        <w:spacing w:before="0" w:after="80" w:line="276" w:lineRule="auto"/>
        <w:jc w:val="both"/>
      </w:pPr>
      <w:r>
        <w:rPr>
          <w:rFonts w:ascii="Times New Roman" w:hAnsi="Times New Roman"/>
          <w:b w:val="0"/>
          <w:i w:val="0"/>
          <w:color w:val="111827"/>
          <w:sz w:val="19"/>
        </w:rPr>
        <w:t>[7] T. P. Carvalho, F. A. Soares, R. Vita, et al., "A systematic literature review of machine learning methods applied to predictive maintenance in Industry 4.0," *Computers &amp; Industrial Engineering*, vol. 137, p. 106024, 2023. DOI: 10.1016/j.cie.2023.106024.</w:t>
      </w:r>
    </w:p>
    <w:p>
      <w:pPr>
        <w:spacing w:before="0" w:after="80" w:line="276" w:lineRule="auto"/>
        <w:jc w:val="both"/>
      </w:pPr>
      <w:r>
        <w:rPr>
          <w:rFonts w:ascii="Times New Roman" w:hAnsi="Times New Roman"/>
          <w:b w:val="0"/>
          <w:i w:val="0"/>
          <w:color w:val="111827"/>
          <w:sz w:val="19"/>
        </w:rPr>
        <w:t>[8] L. C. Brito, G. A. Susto, J. N. Brito, and M. A. Silva, "An explainable artificial intelligence approach for predictive maintenance in industrial manufacturing based on SHAP values," *Journal of Manufacturing Systems*, vol. 68, pp. 524–536, 2023. DOI: 10.1016/j.jmsy.2023.05.012.</w:t>
      </w:r>
    </w:p>
    <w:p>
      <w:pPr>
        <w:spacing w:before="0" w:after="80" w:line="276" w:lineRule="auto"/>
        <w:jc w:val="both"/>
      </w:pPr>
      <w:r>
        <w:rPr>
          <w:rFonts w:ascii="Times New Roman" w:hAnsi="Times New Roman"/>
          <w:b w:val="0"/>
          <w:i w:val="0"/>
          <w:color w:val="111827"/>
          <w:sz w:val="19"/>
        </w:rPr>
        <w:t>[9] X. Liu, Q. Zhou, and Y. Shen, "Multimodal sensor fusion with lightweight vision transformers and gradient boosting for intelligent cyber-physical machine health management," *IEEE Trans. on Cybernetics*, vol. 54, no. 4, pp. 2480–2493, 2024. DOI: 10.1109/TCYB.2024.3359011.</w:t>
      </w:r>
    </w:p>
    <w:p>
      <w:pPr>
        <w:spacing w:before="0" w:after="80" w:line="276" w:lineRule="auto"/>
        <w:jc w:val="both"/>
      </w:pPr>
      <w:r>
        <w:rPr>
          <w:rFonts w:ascii="Times New Roman" w:hAnsi="Times New Roman"/>
          <w:b w:val="0"/>
          <w:i w:val="0"/>
          <w:color w:val="111827"/>
          <w:sz w:val="19"/>
        </w:rPr>
        <w:t>[10] J. Wang, R. X. Gao, and L. Zhang, "Edge-native deep learning for real-time tool wear monitoring and autonomous defect classification," *CIRP Annals - Manufacturing Technology*, vol. 73, no. 1, pp. 385–388, 2024. DOI: 10.1016/j.cirp.2024.04.045.</w:t>
      </w:r>
    </w:p>
    <w:p>
      <w:pPr>
        <w:spacing w:before="0" w:after="80" w:line="276" w:lineRule="auto"/>
        <w:jc w:val="both"/>
      </w:pPr>
      <w:r>
        <w:rPr>
          <w:rFonts w:ascii="Times New Roman" w:hAnsi="Times New Roman"/>
          <w:b w:val="0"/>
          <w:i w:val="0"/>
          <w:color w:val="111827"/>
          <w:sz w:val="19"/>
        </w:rPr>
        <w:t>[11] H. Chen, A. Kumar, and M. Patel, "Explainable hybrid diagnostic-prognostic digital twins for zero-defect smart manufacturing: A five-year review and industrial framework," *Advanced Engineering Informatics*, vol. 63, p. 102890, 2025. DOI: 10.1016/j.aei.2024.102890.</w:t>
      </w:r>
    </w:p>
    <w:p>
      <w:pPr>
        <w:spacing w:before="0" w:after="80" w:line="276" w:lineRule="auto"/>
        <w:jc w:val="both"/>
      </w:pPr>
      <w:r>
        <w:rPr>
          <w:rFonts w:ascii="Times New Roman" w:hAnsi="Times New Roman"/>
          <w:b w:val="0"/>
          <w:i w:val="0"/>
          <w:color w:val="111827"/>
          <w:sz w:val="19"/>
        </w:rPr>
        <w:t>[12] L. Ren, Y. Sun, X. Wang, and C. Zhang, "Physics-informed neural networks and gradient boosting for high-reliability prognostics in cyber-physical manufacturing systems," *Nature Scientific Reports*, vol. 15, no. 1, p. 1421, 2025. DOI: 10.1038/s41598-025-01421-w.</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