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EDDDF" w14:textId="77777777" w:rsidR="00985087" w:rsidRPr="00985087" w:rsidRDefault="00985087" w:rsidP="00985087">
      <w:pPr>
        <w:rPr>
          <w:b/>
          <w:bCs/>
          <w:color w:val="548DD4" w:themeColor="text2" w:themeTint="99"/>
          <w:sz w:val="28"/>
          <w:szCs w:val="28"/>
        </w:rPr>
      </w:pPr>
      <w:r w:rsidRPr="00985087">
        <w:rPr>
          <w:b/>
          <w:bCs/>
          <w:color w:val="548DD4" w:themeColor="text2" w:themeTint="99"/>
          <w:sz w:val="28"/>
          <w:szCs w:val="28"/>
        </w:rPr>
        <w:t>Business Summary Report: Predictive Insights for Collections Strategy</w:t>
      </w:r>
    </w:p>
    <w:p w14:paraId="72D8E465" w14:textId="77777777" w:rsidR="00985087" w:rsidRPr="00985087" w:rsidRDefault="00985087" w:rsidP="00985087">
      <w:pPr>
        <w:pStyle w:val="Heading2"/>
        <w:rPr>
          <w:color w:val="548DD4" w:themeColor="text2" w:themeTint="99"/>
        </w:rPr>
      </w:pPr>
    </w:p>
    <w:p w14:paraId="05C7C202" w14:textId="6835CBD0" w:rsidR="00985087" w:rsidRPr="00985087" w:rsidRDefault="00985087" w:rsidP="00985087">
      <w:pPr>
        <w:pStyle w:val="Heading2"/>
        <w:rPr>
          <w:color w:val="8DB3E2" w:themeColor="text2" w:themeTint="66"/>
        </w:rPr>
      </w:pPr>
      <w:r w:rsidRPr="00985087">
        <w:rPr>
          <w:color w:val="8DB3E2" w:themeColor="text2" w:themeTint="66"/>
        </w:rPr>
        <w:t>1. Summary of Predictive Insights</w:t>
      </w:r>
    </w:p>
    <w:p w14:paraId="5B6A6EBD" w14:textId="77777777" w:rsidR="00985087" w:rsidRDefault="00985087" w:rsidP="00985087">
      <w:pPr>
        <w:pStyle w:val="NormalWeb"/>
        <w:rPr>
          <w:color w:val="000000"/>
        </w:rPr>
      </w:pPr>
      <w:r>
        <w:rPr>
          <w:color w:val="000000"/>
        </w:rPr>
        <w:t>Based on the predictive analysis, customers with</w:t>
      </w:r>
      <w:r>
        <w:rPr>
          <w:rStyle w:val="apple-converted-space"/>
          <w:color w:val="000000"/>
        </w:rPr>
        <w:t> </w:t>
      </w:r>
      <w:r>
        <w:rPr>
          <w:rStyle w:val="Strong"/>
          <w:color w:val="000000"/>
        </w:rPr>
        <w:t>high credit utilisation, multiple missed payments, and a high debt-to-income ratio</w:t>
      </w:r>
      <w:r>
        <w:rPr>
          <w:rStyle w:val="apple-converted-space"/>
          <w:color w:val="000000"/>
        </w:rPr>
        <w:t> </w:t>
      </w:r>
      <w:r>
        <w:rPr>
          <w:color w:val="000000"/>
        </w:rPr>
        <w:t>are more likely to become delinquent. Customers with</w:t>
      </w:r>
      <w:r>
        <w:rPr>
          <w:rStyle w:val="apple-converted-space"/>
          <w:color w:val="000000"/>
        </w:rPr>
        <w:t> </w:t>
      </w:r>
      <w:r>
        <w:rPr>
          <w:rStyle w:val="Strong"/>
          <w:color w:val="000000"/>
        </w:rPr>
        <w:t>lower credit scores</w:t>
      </w:r>
      <w:r>
        <w:rPr>
          <w:rStyle w:val="apple-converted-space"/>
          <w:color w:val="000000"/>
        </w:rPr>
        <w:t> </w:t>
      </w:r>
      <w:r>
        <w:rPr>
          <w:color w:val="000000"/>
        </w:rPr>
        <w:t>and recent late or missed payments also show a higher level of risk. These patterns indicate that both current financial behaviour and past repayment history play an important role in predicting future delinquency.</w:t>
      </w:r>
    </w:p>
    <w:p w14:paraId="1D27225A" w14:textId="77777777" w:rsidR="00985087" w:rsidRDefault="00985087" w:rsidP="00985087">
      <w:pPr>
        <w:pStyle w:val="NormalWeb"/>
        <w:rPr>
          <w:color w:val="000000"/>
        </w:rPr>
      </w:pPr>
      <w:r>
        <w:rPr>
          <w:color w:val="000000"/>
        </w:rPr>
        <w:t xml:space="preserve">The analysis suggests that customers with high credit utilisation and repeated missed payments should be considered a priority for early intervention. Identifying these customers at an early stage can help </w:t>
      </w:r>
      <w:proofErr w:type="spellStart"/>
      <w:r>
        <w:rPr>
          <w:color w:val="000000"/>
        </w:rPr>
        <w:t>Geldium</w:t>
      </w:r>
      <w:proofErr w:type="spellEnd"/>
      <w:r>
        <w:rPr>
          <w:color w:val="000000"/>
        </w:rPr>
        <w:t xml:space="preserve"> take proactive steps, such as sending payment reminders or offering suitable repayment options, before the account becomes delinquent.</w:t>
      </w:r>
    </w:p>
    <w:p w14:paraId="7F13D179" w14:textId="77777777" w:rsidR="00985087" w:rsidRDefault="00985087" w:rsidP="00985087">
      <w:pPr>
        <w:pStyle w:val="Heading3"/>
        <w:rPr>
          <w:color w:val="000000"/>
        </w:rPr>
      </w:pPr>
      <w:r>
        <w:rPr>
          <w:color w:val="000000"/>
        </w:rPr>
        <w:t>Top 3 Risk Factors</w:t>
      </w:r>
    </w:p>
    <w:p w14:paraId="3658099E" w14:textId="77777777" w:rsidR="00985087" w:rsidRPr="00985087" w:rsidRDefault="00985087" w:rsidP="00985087">
      <w:pPr>
        <w:pStyle w:val="NormalWeb"/>
        <w:numPr>
          <w:ilvl w:val="0"/>
          <w:numId w:val="15"/>
        </w:numPr>
        <w:rPr>
          <w:color w:val="000000"/>
        </w:rPr>
      </w:pPr>
      <w:r w:rsidRPr="00985087">
        <w:rPr>
          <w:color w:val="000000"/>
        </w:rPr>
        <w:t>Customers with</w:t>
      </w:r>
      <w:r w:rsidRPr="00985087">
        <w:rPr>
          <w:rStyle w:val="apple-converted-space"/>
          <w:color w:val="000000"/>
        </w:rPr>
        <w:t> </w:t>
      </w:r>
      <w:r w:rsidRPr="00985087">
        <w:rPr>
          <w:rStyle w:val="Strong"/>
          <w:b w:val="0"/>
          <w:bCs w:val="0"/>
          <w:color w:val="000000"/>
        </w:rPr>
        <w:t>high credit utilisation and high debt-to-income ratios</w:t>
      </w:r>
      <w:r w:rsidRPr="00985087">
        <w:rPr>
          <w:rStyle w:val="apple-converted-space"/>
          <w:color w:val="000000"/>
        </w:rPr>
        <w:t> </w:t>
      </w:r>
      <w:r w:rsidRPr="00985087">
        <w:rPr>
          <w:color w:val="000000"/>
        </w:rPr>
        <w:t>are more likely to experience credit delinquency.</w:t>
      </w:r>
    </w:p>
    <w:p w14:paraId="6A75B336" w14:textId="77777777" w:rsidR="00985087" w:rsidRPr="00985087" w:rsidRDefault="00985087" w:rsidP="00985087">
      <w:pPr>
        <w:pStyle w:val="NormalWeb"/>
        <w:numPr>
          <w:ilvl w:val="0"/>
          <w:numId w:val="15"/>
        </w:numPr>
        <w:rPr>
          <w:color w:val="000000"/>
        </w:rPr>
      </w:pPr>
      <w:r w:rsidRPr="00985087">
        <w:rPr>
          <w:rStyle w:val="Strong"/>
          <w:b w:val="0"/>
          <w:bCs w:val="0"/>
          <w:color w:val="000000"/>
        </w:rPr>
        <w:t>Repeated missed or late payments</w:t>
      </w:r>
      <w:r w:rsidRPr="00985087">
        <w:rPr>
          <w:rStyle w:val="apple-converted-space"/>
          <w:color w:val="000000"/>
        </w:rPr>
        <w:t> </w:t>
      </w:r>
      <w:r w:rsidRPr="00985087">
        <w:rPr>
          <w:color w:val="000000"/>
        </w:rPr>
        <w:t>are a strong indicator that a customer may struggle to make future repayments.</w:t>
      </w:r>
    </w:p>
    <w:p w14:paraId="532E2FC6" w14:textId="2A87F565" w:rsidR="00985087" w:rsidRDefault="00985087" w:rsidP="00985087">
      <w:pPr>
        <w:pStyle w:val="NormalWeb"/>
        <w:numPr>
          <w:ilvl w:val="0"/>
          <w:numId w:val="15"/>
        </w:numPr>
        <w:rPr>
          <w:color w:val="000000"/>
        </w:rPr>
      </w:pPr>
      <w:r w:rsidRPr="00985087">
        <w:rPr>
          <w:color w:val="000000"/>
        </w:rPr>
        <w:t>Customers with</w:t>
      </w:r>
      <w:r w:rsidRPr="00985087">
        <w:rPr>
          <w:rStyle w:val="apple-converted-space"/>
          <w:color w:val="000000"/>
        </w:rPr>
        <w:t> </w:t>
      </w:r>
      <w:r w:rsidRPr="00985087">
        <w:rPr>
          <w:rStyle w:val="Strong"/>
          <w:b w:val="0"/>
          <w:bCs w:val="0"/>
          <w:color w:val="000000"/>
        </w:rPr>
        <w:t>low credit scores and a poor repayment history</w:t>
      </w:r>
      <w:r w:rsidRPr="00985087">
        <w:rPr>
          <w:rStyle w:val="apple-converted-space"/>
          <w:color w:val="000000"/>
        </w:rPr>
        <w:t> </w:t>
      </w:r>
      <w:r w:rsidRPr="00985087">
        <w:rPr>
          <w:color w:val="000000"/>
        </w:rPr>
        <w:t>have a higher risk of becoming delinquent.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1890"/>
        <w:gridCol w:w="2030"/>
        <w:gridCol w:w="2473"/>
      </w:tblGrid>
      <w:tr w:rsidR="005A73EC" w:rsidRPr="005A73EC" w14:paraId="402D81F3" w14:textId="77777777" w:rsidTr="00DE17BA">
        <w:trPr>
          <w:tblHeader/>
          <w:tblCellSpacing w:w="15" w:type="dxa"/>
        </w:trPr>
        <w:tc>
          <w:tcPr>
            <w:tcW w:w="0" w:type="auto"/>
            <w:vAlign w:val="center"/>
            <w:hideMark/>
          </w:tcPr>
          <w:p w14:paraId="6FEF5AF6" w14:textId="77777777" w:rsidR="005A73EC" w:rsidRPr="00DE17BA" w:rsidRDefault="005A73EC" w:rsidP="005A73EC">
            <w:pPr>
              <w:spacing w:after="0" w:line="240" w:lineRule="auto"/>
              <w:jc w:val="center"/>
              <w:rPr>
                <w:rFonts w:eastAsia="Times New Roman" w:cs="Times New Roman"/>
                <w:b/>
                <w:bCs/>
                <w:color w:val="000000"/>
                <w:lang w:val="en-IN" w:eastAsia="en-GB" w:bidi="hi-IN"/>
              </w:rPr>
            </w:pPr>
            <w:r w:rsidRPr="00DE17BA">
              <w:rPr>
                <w:rFonts w:eastAsia="Times New Roman" w:cs="Times New Roman"/>
                <w:b/>
                <w:bCs/>
                <w:color w:val="000000"/>
                <w:lang w:val="en-IN" w:eastAsia="en-GB" w:bidi="hi-IN"/>
              </w:rPr>
              <w:t>Key Insight</w:t>
            </w:r>
          </w:p>
        </w:tc>
        <w:tc>
          <w:tcPr>
            <w:tcW w:w="0" w:type="auto"/>
            <w:vAlign w:val="center"/>
            <w:hideMark/>
          </w:tcPr>
          <w:p w14:paraId="4C818CCC" w14:textId="77777777" w:rsidR="005A73EC" w:rsidRPr="00DE17BA" w:rsidRDefault="005A73EC" w:rsidP="005A73EC">
            <w:pPr>
              <w:spacing w:after="0" w:line="240" w:lineRule="auto"/>
              <w:jc w:val="center"/>
              <w:rPr>
                <w:rFonts w:eastAsia="Times New Roman" w:cs="Times New Roman"/>
                <w:b/>
                <w:bCs/>
                <w:color w:val="000000"/>
                <w:lang w:val="en-IN" w:eastAsia="en-GB" w:bidi="hi-IN"/>
              </w:rPr>
            </w:pPr>
            <w:r w:rsidRPr="00DE17BA">
              <w:rPr>
                <w:rFonts w:eastAsia="Times New Roman" w:cs="Times New Roman"/>
                <w:b/>
                <w:bCs/>
                <w:color w:val="000000"/>
                <w:lang w:val="en-IN" w:eastAsia="en-GB" w:bidi="hi-IN"/>
              </w:rPr>
              <w:t>Customer Segment</w:t>
            </w:r>
          </w:p>
        </w:tc>
        <w:tc>
          <w:tcPr>
            <w:tcW w:w="0" w:type="auto"/>
            <w:vAlign w:val="center"/>
            <w:hideMark/>
          </w:tcPr>
          <w:p w14:paraId="21034A80" w14:textId="77777777" w:rsidR="005A73EC" w:rsidRPr="00DE17BA" w:rsidRDefault="005A73EC" w:rsidP="005A73EC">
            <w:pPr>
              <w:spacing w:after="0" w:line="240" w:lineRule="auto"/>
              <w:jc w:val="center"/>
              <w:rPr>
                <w:rFonts w:eastAsia="Times New Roman" w:cs="Times New Roman"/>
                <w:b/>
                <w:bCs/>
                <w:color w:val="000000"/>
                <w:lang w:val="en-IN" w:eastAsia="en-GB" w:bidi="hi-IN"/>
              </w:rPr>
            </w:pPr>
            <w:r w:rsidRPr="00DE17BA">
              <w:rPr>
                <w:rFonts w:eastAsia="Times New Roman" w:cs="Times New Roman"/>
                <w:b/>
                <w:bCs/>
                <w:color w:val="000000"/>
                <w:lang w:val="en-IN" w:eastAsia="en-GB" w:bidi="hi-IN"/>
              </w:rPr>
              <w:t>Influencing Variables</w:t>
            </w:r>
          </w:p>
        </w:tc>
        <w:tc>
          <w:tcPr>
            <w:tcW w:w="0" w:type="auto"/>
            <w:vAlign w:val="center"/>
            <w:hideMark/>
          </w:tcPr>
          <w:p w14:paraId="164DC28E" w14:textId="77777777" w:rsidR="005A73EC" w:rsidRPr="00DE17BA" w:rsidRDefault="005A73EC" w:rsidP="005A73EC">
            <w:pPr>
              <w:spacing w:after="0" w:line="240" w:lineRule="auto"/>
              <w:jc w:val="center"/>
              <w:rPr>
                <w:rFonts w:eastAsia="Times New Roman" w:cs="Times New Roman"/>
                <w:b/>
                <w:bCs/>
                <w:color w:val="000000"/>
                <w:lang w:val="en-IN" w:eastAsia="en-GB" w:bidi="hi-IN"/>
              </w:rPr>
            </w:pPr>
            <w:r w:rsidRPr="00DE17BA">
              <w:rPr>
                <w:rFonts w:eastAsia="Times New Roman" w:cs="Times New Roman"/>
                <w:b/>
                <w:bCs/>
                <w:color w:val="000000"/>
                <w:lang w:val="en-IN" w:eastAsia="en-GB" w:bidi="hi-IN"/>
              </w:rPr>
              <w:t>Potential Impact</w:t>
            </w:r>
          </w:p>
        </w:tc>
      </w:tr>
      <w:tr w:rsidR="005A73EC" w:rsidRPr="005A73EC" w14:paraId="6EFE08B9" w14:textId="77777777" w:rsidTr="00DE17BA">
        <w:trPr>
          <w:tblCellSpacing w:w="15" w:type="dxa"/>
        </w:trPr>
        <w:tc>
          <w:tcPr>
            <w:tcW w:w="0" w:type="auto"/>
            <w:vAlign w:val="center"/>
            <w:hideMark/>
          </w:tcPr>
          <w:p w14:paraId="2CDF223E" w14:textId="77777777" w:rsidR="005A73EC" w:rsidRPr="00DE17BA" w:rsidRDefault="005A73EC" w:rsidP="005A73EC">
            <w:pPr>
              <w:spacing w:after="0" w:line="240" w:lineRule="auto"/>
              <w:rPr>
                <w:rFonts w:eastAsia="Times New Roman" w:cs="Times New Roman"/>
                <w:color w:val="000000"/>
                <w:lang w:val="en-IN" w:eastAsia="en-GB" w:bidi="hi-IN"/>
              </w:rPr>
            </w:pPr>
            <w:r w:rsidRPr="00DE17BA">
              <w:rPr>
                <w:rFonts w:eastAsia="Times New Roman" w:cs="Times New Roman"/>
                <w:color w:val="000000"/>
                <w:lang w:val="en-IN" w:eastAsia="en-GB" w:bidi="hi-IN"/>
              </w:rPr>
              <w:t>Customers with high credit utilisation and repeated missed payments have a higher risk of delinquency.</w:t>
            </w:r>
          </w:p>
        </w:tc>
        <w:tc>
          <w:tcPr>
            <w:tcW w:w="0" w:type="auto"/>
            <w:vAlign w:val="center"/>
            <w:hideMark/>
          </w:tcPr>
          <w:p w14:paraId="07316BA2" w14:textId="77777777" w:rsidR="005A73EC" w:rsidRPr="00DE17BA" w:rsidRDefault="005A73EC" w:rsidP="005A73EC">
            <w:pPr>
              <w:spacing w:after="0" w:line="240" w:lineRule="auto"/>
              <w:rPr>
                <w:rFonts w:eastAsia="Times New Roman" w:cs="Times New Roman"/>
                <w:color w:val="000000"/>
                <w:lang w:val="en-IN" w:eastAsia="en-GB" w:bidi="hi-IN"/>
              </w:rPr>
            </w:pPr>
            <w:r w:rsidRPr="00DE17BA">
              <w:rPr>
                <w:rFonts w:eastAsia="Times New Roman" w:cs="Times New Roman"/>
                <w:color w:val="000000"/>
                <w:lang w:val="en-IN" w:eastAsia="en-GB" w:bidi="hi-IN"/>
              </w:rPr>
              <w:t>Customers with high credit utilisation, multiple missed payments, and low credit scores.</w:t>
            </w:r>
          </w:p>
        </w:tc>
        <w:tc>
          <w:tcPr>
            <w:tcW w:w="0" w:type="auto"/>
            <w:vAlign w:val="center"/>
            <w:hideMark/>
          </w:tcPr>
          <w:p w14:paraId="0DFAE7CB" w14:textId="77777777" w:rsidR="005A73EC" w:rsidRPr="00DE17BA" w:rsidRDefault="005A73EC" w:rsidP="005A73EC">
            <w:pPr>
              <w:spacing w:after="0" w:line="240" w:lineRule="auto"/>
              <w:rPr>
                <w:rFonts w:eastAsia="Times New Roman" w:cs="Times New Roman"/>
                <w:color w:val="000000"/>
                <w:lang w:val="en-IN" w:eastAsia="en-GB" w:bidi="hi-IN"/>
              </w:rPr>
            </w:pPr>
            <w:r w:rsidRPr="00DE17BA">
              <w:rPr>
                <w:rFonts w:eastAsia="Times New Roman" w:cs="Times New Roman"/>
                <w:color w:val="000000"/>
                <w:lang w:val="en-IN" w:eastAsia="en-GB" w:bidi="hi-IN"/>
              </w:rPr>
              <w:t>Credit Utilisation, Missed Payments, Credit Score, Debt-to-Income Ratio, Payment History</w:t>
            </w:r>
          </w:p>
        </w:tc>
        <w:tc>
          <w:tcPr>
            <w:tcW w:w="0" w:type="auto"/>
            <w:vAlign w:val="center"/>
            <w:hideMark/>
          </w:tcPr>
          <w:p w14:paraId="6D9B043A" w14:textId="77777777" w:rsidR="005A73EC" w:rsidRPr="00DE17BA" w:rsidRDefault="005A73EC" w:rsidP="005A73EC">
            <w:pPr>
              <w:spacing w:after="0" w:line="240" w:lineRule="auto"/>
              <w:rPr>
                <w:rFonts w:eastAsia="Times New Roman" w:cs="Times New Roman"/>
                <w:color w:val="000000"/>
                <w:lang w:val="en-IN" w:eastAsia="en-GB" w:bidi="hi-IN"/>
              </w:rPr>
            </w:pPr>
            <w:r w:rsidRPr="00DE17BA">
              <w:rPr>
                <w:rFonts w:eastAsia="Times New Roman" w:cs="Times New Roman"/>
                <w:color w:val="000000"/>
                <w:lang w:val="en-IN" w:eastAsia="en-GB" w:bidi="hi-IN"/>
              </w:rPr>
              <w:t>Helps identify high-risk customers early, allowing the Collections team to take proactive action and reduce future delinquency.</w:t>
            </w:r>
          </w:p>
        </w:tc>
      </w:tr>
    </w:tbl>
    <w:p w14:paraId="37E3F0E9" w14:textId="77777777" w:rsidR="00985087" w:rsidRPr="00985087" w:rsidRDefault="00985087" w:rsidP="00985087">
      <w:pPr>
        <w:pStyle w:val="NormalWeb"/>
        <w:rPr>
          <w:color w:val="000000"/>
        </w:rPr>
      </w:pPr>
    </w:p>
    <w:p w14:paraId="2A12F110" w14:textId="77777777" w:rsidR="00985087" w:rsidRPr="00985087" w:rsidRDefault="00985087" w:rsidP="00985087">
      <w:pPr>
        <w:pStyle w:val="Heading2"/>
        <w:rPr>
          <w:color w:val="8DB3E2" w:themeColor="text2" w:themeTint="66"/>
        </w:rPr>
      </w:pPr>
      <w:r w:rsidRPr="00985087">
        <w:rPr>
          <w:color w:val="8DB3E2" w:themeColor="text2" w:themeTint="66"/>
        </w:rPr>
        <w:t>2. Recommendation Framework</w:t>
      </w:r>
    </w:p>
    <w:p w14:paraId="33B6BEA4" w14:textId="77777777" w:rsidR="00985087" w:rsidRDefault="00985087" w:rsidP="00985087">
      <w:pPr>
        <w:pStyle w:val="NormalWeb"/>
        <w:rPr>
          <w:color w:val="000000"/>
        </w:rPr>
      </w:pPr>
      <w:r>
        <w:rPr>
          <w:rStyle w:val="Strong"/>
          <w:color w:val="000000"/>
        </w:rPr>
        <w:t>Restated Insight:</w:t>
      </w:r>
      <w:r>
        <w:rPr>
          <w:color w:val="000000"/>
        </w:rPr>
        <w:br/>
        <w:t>The predictive analysis shows that customers with high credit utilisation and repeated missed payments are more likely to become credit delinquent.</w:t>
      </w:r>
    </w:p>
    <w:p w14:paraId="04BC6C87" w14:textId="77777777" w:rsidR="00985087" w:rsidRDefault="00985087" w:rsidP="00985087">
      <w:pPr>
        <w:pStyle w:val="NormalWeb"/>
        <w:rPr>
          <w:color w:val="000000"/>
        </w:rPr>
      </w:pPr>
      <w:r>
        <w:rPr>
          <w:rStyle w:val="Strong"/>
          <w:color w:val="000000"/>
        </w:rPr>
        <w:lastRenderedPageBreak/>
        <w:t>Proposed Recommendation:</w:t>
      </w:r>
      <w:r>
        <w:rPr>
          <w:color w:val="000000"/>
        </w:rPr>
        <w:br/>
        <w:t>Introduce a targeted customer outreach program that provides payment reminders and financial support options to customers identified as high risk by the predictive model.</w:t>
      </w:r>
    </w:p>
    <w:p w14:paraId="4B9C2D71" w14:textId="77777777" w:rsidR="00985087" w:rsidRDefault="00985087" w:rsidP="00985087">
      <w:pPr>
        <w:pStyle w:val="NormalWeb"/>
        <w:rPr>
          <w:color w:val="000000"/>
        </w:rPr>
      </w:pPr>
      <w:r>
        <w:rPr>
          <w:rStyle w:val="Strong"/>
          <w:color w:val="000000"/>
        </w:rPr>
        <w:t>Specific:</w:t>
      </w:r>
      <w:r>
        <w:rPr>
          <w:color w:val="000000"/>
        </w:rPr>
        <w:br/>
        <w:t>Contact customers with high credit utilisation and two or more missed payments through SMS, email, or phone calls to encourage timely repayments and provide available support options.</w:t>
      </w:r>
    </w:p>
    <w:p w14:paraId="41881CF2" w14:textId="77777777" w:rsidR="00985087" w:rsidRDefault="00985087" w:rsidP="00985087">
      <w:pPr>
        <w:pStyle w:val="NormalWeb"/>
        <w:rPr>
          <w:color w:val="000000"/>
        </w:rPr>
      </w:pPr>
      <w:r>
        <w:rPr>
          <w:rStyle w:val="Strong"/>
          <w:color w:val="000000"/>
        </w:rPr>
        <w:t>Measurable:</w:t>
      </w:r>
      <w:r>
        <w:rPr>
          <w:color w:val="000000"/>
        </w:rPr>
        <w:br/>
        <w:t>Aim to reduce the 30-day delinquency rate among the targeted customers by</w:t>
      </w:r>
      <w:r>
        <w:rPr>
          <w:rStyle w:val="apple-converted-space"/>
          <w:color w:val="000000"/>
        </w:rPr>
        <w:t> </w:t>
      </w:r>
      <w:r w:rsidRPr="00DE17BA">
        <w:rPr>
          <w:rStyle w:val="Strong"/>
          <w:b w:val="0"/>
          <w:bCs w:val="0"/>
          <w:color w:val="000000"/>
        </w:rPr>
        <w:t>10%</w:t>
      </w:r>
      <w:r>
        <w:rPr>
          <w:rStyle w:val="apple-converted-space"/>
          <w:color w:val="000000"/>
        </w:rPr>
        <w:t> </w:t>
      </w:r>
      <w:r>
        <w:rPr>
          <w:color w:val="000000"/>
        </w:rPr>
        <w:t>within the pilot period.</w:t>
      </w:r>
    </w:p>
    <w:p w14:paraId="1DCB420A" w14:textId="77777777" w:rsidR="00985087" w:rsidRDefault="00985087" w:rsidP="00985087">
      <w:pPr>
        <w:pStyle w:val="NormalWeb"/>
        <w:rPr>
          <w:color w:val="000000"/>
        </w:rPr>
      </w:pPr>
      <w:r>
        <w:rPr>
          <w:rStyle w:val="Strong"/>
          <w:color w:val="000000"/>
        </w:rPr>
        <w:t>Actionable:</w:t>
      </w:r>
      <w:r>
        <w:rPr>
          <w:color w:val="000000"/>
        </w:rPr>
        <w:br/>
        <w:t>Use the predictive model to identify high-risk customers and allow the Collections team to begin the outreach program.</w:t>
      </w:r>
    </w:p>
    <w:p w14:paraId="19B1301C" w14:textId="77777777" w:rsidR="00985087" w:rsidRDefault="00985087" w:rsidP="00985087">
      <w:pPr>
        <w:pStyle w:val="NormalWeb"/>
        <w:rPr>
          <w:color w:val="000000"/>
        </w:rPr>
      </w:pPr>
      <w:r>
        <w:rPr>
          <w:rStyle w:val="Strong"/>
          <w:color w:val="000000"/>
        </w:rPr>
        <w:t>Relevant:</w:t>
      </w:r>
      <w:r>
        <w:rPr>
          <w:color w:val="000000"/>
        </w:rPr>
        <w:br/>
        <w:t xml:space="preserve">This recommendation supports </w:t>
      </w:r>
      <w:proofErr w:type="spellStart"/>
      <w:r>
        <w:rPr>
          <w:color w:val="000000"/>
        </w:rPr>
        <w:t>Geldium's</w:t>
      </w:r>
      <w:proofErr w:type="spellEnd"/>
      <w:r>
        <w:rPr>
          <w:color w:val="000000"/>
        </w:rPr>
        <w:t xml:space="preserve"> goal of reducing delinquency, improving repayment rates, and strengthening customer relationships.</w:t>
      </w:r>
    </w:p>
    <w:p w14:paraId="3D8F57AC" w14:textId="77777777" w:rsidR="00985087" w:rsidRDefault="00985087" w:rsidP="00985087">
      <w:pPr>
        <w:pStyle w:val="NormalWeb"/>
        <w:rPr>
          <w:color w:val="000000"/>
        </w:rPr>
      </w:pPr>
      <w:r>
        <w:rPr>
          <w:rStyle w:val="Strong"/>
          <w:color w:val="000000"/>
        </w:rPr>
        <w:t>Time-bound:</w:t>
      </w:r>
      <w:r>
        <w:rPr>
          <w:color w:val="000000"/>
        </w:rPr>
        <w:br/>
        <w:t xml:space="preserve">Conduct the outreach program over </w:t>
      </w:r>
      <w:r w:rsidRPr="00DE17BA">
        <w:rPr>
          <w:color w:val="000000"/>
        </w:rPr>
        <w:t>a</w:t>
      </w:r>
      <w:r w:rsidRPr="00DE17BA">
        <w:rPr>
          <w:rStyle w:val="apple-converted-space"/>
          <w:color w:val="000000"/>
        </w:rPr>
        <w:t> </w:t>
      </w:r>
      <w:r w:rsidRPr="00DE17BA">
        <w:rPr>
          <w:rStyle w:val="Strong"/>
          <w:b w:val="0"/>
          <w:bCs w:val="0"/>
          <w:color w:val="000000"/>
        </w:rPr>
        <w:t>6-week pilot period</w:t>
      </w:r>
      <w:r w:rsidRPr="00DE17BA">
        <w:rPr>
          <w:rStyle w:val="apple-converted-space"/>
          <w:color w:val="000000"/>
        </w:rPr>
        <w:t> </w:t>
      </w:r>
      <w:r w:rsidRPr="00DE17BA">
        <w:rPr>
          <w:color w:val="000000"/>
        </w:rPr>
        <w:t>and</w:t>
      </w:r>
      <w:r>
        <w:rPr>
          <w:color w:val="000000"/>
        </w:rPr>
        <w:t xml:space="preserve"> review the results at the end of the trial.</w:t>
      </w:r>
    </w:p>
    <w:p w14:paraId="3F232F7C" w14:textId="77777777" w:rsidR="00985087" w:rsidRDefault="00985087" w:rsidP="00985087">
      <w:pPr>
        <w:pStyle w:val="NormalWeb"/>
        <w:rPr>
          <w:color w:val="000000"/>
        </w:rPr>
      </w:pPr>
      <w:r>
        <w:rPr>
          <w:rStyle w:val="Strong"/>
          <w:color w:val="000000"/>
        </w:rPr>
        <w:t>Justification and Business Rationale:</w:t>
      </w:r>
      <w:r>
        <w:rPr>
          <w:color w:val="000000"/>
        </w:rPr>
        <w:br/>
        <w:t xml:space="preserve">Taking action before customers become seriously delinquent can improve repayment behaviour and reduce financial losses. A targeted outreach program allows </w:t>
      </w:r>
      <w:proofErr w:type="spellStart"/>
      <w:r>
        <w:rPr>
          <w:color w:val="000000"/>
        </w:rPr>
        <w:t>Geldium</w:t>
      </w:r>
      <w:proofErr w:type="spellEnd"/>
      <w:r>
        <w:rPr>
          <w:color w:val="000000"/>
        </w:rPr>
        <w:t xml:space="preserve"> to focus its resources on customers who are most likely to benefit from early intervention while supporting responsible and data-driven decision-making.</w:t>
      </w:r>
    </w:p>
    <w:p w14:paraId="0C339271" w14:textId="77777777" w:rsidR="00985087" w:rsidRPr="00985087" w:rsidRDefault="00985087" w:rsidP="00985087">
      <w:pPr>
        <w:pStyle w:val="Heading2"/>
        <w:rPr>
          <w:color w:val="8DB3E2" w:themeColor="text2" w:themeTint="66"/>
        </w:rPr>
      </w:pPr>
      <w:r w:rsidRPr="00985087">
        <w:rPr>
          <w:color w:val="8DB3E2" w:themeColor="text2" w:themeTint="66"/>
        </w:rPr>
        <w:t>3. Ethical and Responsible AI Considerations</w:t>
      </w:r>
    </w:p>
    <w:p w14:paraId="31859F31" w14:textId="77777777" w:rsidR="00985087" w:rsidRDefault="00985087" w:rsidP="00985087">
      <w:pPr>
        <w:pStyle w:val="NormalWeb"/>
        <w:rPr>
          <w:color w:val="000000"/>
        </w:rPr>
      </w:pPr>
      <w:r>
        <w:rPr>
          <w:color w:val="000000"/>
        </w:rPr>
        <w:t>The predictive model should be used in a fair and responsible manner. One possible risk is that historical data may introduce bias, leading to unfair predictions for some customer groups. Another risk is that important decisions could rely too heavily on the model without human review. These risks can be reduced by using a balanced dataset, regularly checking the model for fairness, and reviewing predictions before taking action.</w:t>
      </w:r>
    </w:p>
    <w:p w14:paraId="6E38DFBB" w14:textId="77777777" w:rsidR="00985087" w:rsidRDefault="00985087" w:rsidP="00985087">
      <w:pPr>
        <w:pStyle w:val="NormalWeb"/>
        <w:rPr>
          <w:color w:val="000000"/>
        </w:rPr>
      </w:pPr>
      <w:r>
        <w:rPr>
          <w:color w:val="000000"/>
        </w:rPr>
        <w:t>To help non-technical stakeholders understand the results, the model's predictions should be explained using simple factors such as credit utilisation, missed payments, and repayment history. This approach improves transparency, supports responsible decision-making, and helps ensure that customers are treated fairly.</w:t>
      </w:r>
    </w:p>
    <w:p w14:paraId="2FE82A44" w14:textId="336EB077" w:rsidR="00177C02" w:rsidRPr="00985087" w:rsidRDefault="00177C02">
      <w:pPr>
        <w:rPr>
          <w:b/>
          <w:bCs/>
          <w:sz w:val="32"/>
          <w:szCs w:val="32"/>
        </w:rPr>
      </w:pPr>
    </w:p>
    <w:sectPr w:rsidR="00177C02" w:rsidRPr="009850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2A1A3E"/>
    <w:multiLevelType w:val="multilevel"/>
    <w:tmpl w:val="CFEE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603DD"/>
    <w:multiLevelType w:val="multilevel"/>
    <w:tmpl w:val="D5D0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E106C"/>
    <w:multiLevelType w:val="hybridMultilevel"/>
    <w:tmpl w:val="E1785F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7846BE"/>
    <w:multiLevelType w:val="multilevel"/>
    <w:tmpl w:val="3A4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00742"/>
    <w:multiLevelType w:val="multilevel"/>
    <w:tmpl w:val="3FD4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900474"/>
    <w:multiLevelType w:val="hybridMultilevel"/>
    <w:tmpl w:val="7FECF1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9893569">
    <w:abstractNumId w:val="8"/>
  </w:num>
  <w:num w:numId="2" w16cid:durableId="260921656">
    <w:abstractNumId w:val="6"/>
  </w:num>
  <w:num w:numId="3" w16cid:durableId="103228537">
    <w:abstractNumId w:val="5"/>
  </w:num>
  <w:num w:numId="4" w16cid:durableId="1873373462">
    <w:abstractNumId w:val="4"/>
  </w:num>
  <w:num w:numId="5" w16cid:durableId="1061907164">
    <w:abstractNumId w:val="7"/>
  </w:num>
  <w:num w:numId="6" w16cid:durableId="1737624106">
    <w:abstractNumId w:val="3"/>
  </w:num>
  <w:num w:numId="7" w16cid:durableId="1405375704">
    <w:abstractNumId w:val="2"/>
  </w:num>
  <w:num w:numId="8" w16cid:durableId="745103924">
    <w:abstractNumId w:val="1"/>
  </w:num>
  <w:num w:numId="9" w16cid:durableId="1080256477">
    <w:abstractNumId w:val="0"/>
  </w:num>
  <w:num w:numId="10" w16cid:durableId="1938705488">
    <w:abstractNumId w:val="11"/>
  </w:num>
  <w:num w:numId="11" w16cid:durableId="279340326">
    <w:abstractNumId w:val="14"/>
  </w:num>
  <w:num w:numId="12" w16cid:durableId="630747551">
    <w:abstractNumId w:val="9"/>
  </w:num>
  <w:num w:numId="13" w16cid:durableId="285697477">
    <w:abstractNumId w:val="10"/>
  </w:num>
  <w:num w:numId="14" w16cid:durableId="887572894">
    <w:abstractNumId w:val="12"/>
  </w:num>
  <w:num w:numId="15" w16cid:durableId="1066613027">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C02"/>
    <w:rsid w:val="001A562D"/>
    <w:rsid w:val="0029639D"/>
    <w:rsid w:val="00326F90"/>
    <w:rsid w:val="005A73EC"/>
    <w:rsid w:val="007C408A"/>
    <w:rsid w:val="00985087"/>
    <w:rsid w:val="00AA1D8D"/>
    <w:rsid w:val="00B47730"/>
    <w:rsid w:val="00BB61E8"/>
    <w:rsid w:val="00CB0664"/>
    <w:rsid w:val="00CE5BD4"/>
    <w:rsid w:val="00DE17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4BBA4"/>
  <w14:defaultImageDpi w14:val="300"/>
  <w15:docId w15:val="{548074DF-D039-2F40-875C-6E9A81DDA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B61E8"/>
    <w:pPr>
      <w:spacing w:before="100" w:beforeAutospacing="1" w:after="100" w:afterAutospacing="1" w:line="240" w:lineRule="auto"/>
    </w:pPr>
    <w:rPr>
      <w:rFonts w:ascii="Times New Roman" w:eastAsia="Times New Roman" w:hAnsi="Times New Roman" w:cs="Times New Roman"/>
      <w:sz w:val="24"/>
      <w:szCs w:val="24"/>
      <w:lang w:val="en-IN" w:eastAsia="en-GB" w:bidi="hi-IN"/>
    </w:rPr>
  </w:style>
  <w:style w:type="character" w:customStyle="1" w:styleId="apple-converted-space">
    <w:name w:val="apple-converted-space"/>
    <w:basedOn w:val="DefaultParagraphFont"/>
    <w:rsid w:val="00BB61E8"/>
  </w:style>
  <w:style w:type="paragraph" w:customStyle="1" w:styleId="isselectedend">
    <w:name w:val="isselectedend"/>
    <w:basedOn w:val="Normal"/>
    <w:rsid w:val="00BB61E8"/>
    <w:pPr>
      <w:spacing w:before="100" w:beforeAutospacing="1" w:after="100" w:afterAutospacing="1" w:line="240" w:lineRule="auto"/>
    </w:pPr>
    <w:rPr>
      <w:rFonts w:ascii="Times New Roman" w:eastAsia="Times New Roman" w:hAnsi="Times New Roman" w:cs="Times New Roman"/>
      <w:sz w:val="24"/>
      <w:szCs w:val="24"/>
      <w:lang w:val="en-IN"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PUJITHA REDDY</cp:lastModifiedBy>
  <cp:revision>2</cp:revision>
  <dcterms:created xsi:type="dcterms:W3CDTF">2026-06-29T10:44:00Z</dcterms:created>
  <dcterms:modified xsi:type="dcterms:W3CDTF">2026-06-29T10:44:00Z</dcterms:modified>
  <cp:category/>
</cp:coreProperties>
</file>